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54BE" w:rsidRDefault="009D3D49">
      <w:pPr>
        <w:spacing w:after="0" w:line="276" w:lineRule="auto"/>
        <w:rPr>
          <w:rFonts w:ascii="Arial" w:eastAsia="Arial" w:hAnsi="Arial" w:cs="Arial"/>
          <w:b/>
          <w:sz w:val="24"/>
          <w:szCs w:val="24"/>
        </w:rPr>
      </w:pPr>
      <w:r>
        <w:rPr>
          <w:noProof/>
          <w:lang w:val="es-419" w:eastAsia="es-419"/>
        </w:rPr>
        <w:drawing>
          <wp:anchor distT="0" distB="0" distL="114300" distR="114300" simplePos="0" relativeHeight="251658240" behindDoc="1" locked="0" layoutInCell="1" allowOverlap="1">
            <wp:simplePos x="0" y="0"/>
            <wp:positionH relativeFrom="margin">
              <wp:posOffset>3501390</wp:posOffset>
            </wp:positionH>
            <wp:positionV relativeFrom="paragraph">
              <wp:posOffset>-4446</wp:posOffset>
            </wp:positionV>
            <wp:extent cx="2544694" cy="695325"/>
            <wp:effectExtent l="0" t="0" r="8255" b="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2609039" cy="712907"/>
                    </a:xfrm>
                    <a:prstGeom prst="rect">
                      <a:avLst/>
                    </a:prstGeom>
                  </pic:spPr>
                </pic:pic>
              </a:graphicData>
            </a:graphic>
            <wp14:sizeRelH relativeFrom="margin">
              <wp14:pctWidth>0</wp14:pctWidth>
            </wp14:sizeRelH>
            <wp14:sizeRelV relativeFrom="margin">
              <wp14:pctHeight>0</wp14:pctHeight>
            </wp14:sizeRelV>
          </wp:anchor>
        </w:drawing>
      </w:r>
    </w:p>
    <w:p w:rsidR="00D254BE" w:rsidRDefault="00606E42">
      <w:pPr>
        <w:spacing w:after="0" w:line="276" w:lineRule="auto"/>
        <w:jc w:val="center"/>
        <w:rPr>
          <w:rFonts w:ascii="Arial" w:eastAsia="Arial" w:hAnsi="Arial" w:cs="Arial"/>
          <w:b/>
          <w:sz w:val="24"/>
          <w:szCs w:val="24"/>
        </w:rPr>
      </w:pPr>
      <w:bookmarkStart w:id="0" w:name="_GoBack"/>
      <w:bookmarkEnd w:id="0"/>
      <w:r>
        <w:rPr>
          <w:rFonts w:ascii="Arial" w:eastAsia="Arial" w:hAnsi="Arial" w:cs="Arial"/>
          <w:b/>
          <w:sz w:val="24"/>
          <w:szCs w:val="24"/>
        </w:rPr>
        <w:t>MEMORANDO</w:t>
      </w:r>
      <w:r>
        <w:rPr>
          <w:rFonts w:ascii="Arial" w:eastAsia="Arial" w:hAnsi="Arial" w:cs="Arial"/>
          <w:sz w:val="24"/>
          <w:szCs w:val="24"/>
        </w:rPr>
        <w:t xml:space="preserve"> </w:t>
      </w:r>
    </w:p>
    <w:p w:rsidR="00D254BE" w:rsidRDefault="00606E42">
      <w:pPr>
        <w:spacing w:after="0" w:line="276" w:lineRule="auto"/>
        <w:jc w:val="center"/>
        <w:rPr>
          <w:rFonts w:ascii="Arial" w:eastAsia="Arial" w:hAnsi="Arial" w:cs="Arial"/>
          <w:sz w:val="24"/>
          <w:szCs w:val="24"/>
        </w:rPr>
      </w:pPr>
      <w:r>
        <w:rPr>
          <w:rFonts w:ascii="Arial" w:eastAsia="Arial" w:hAnsi="Arial" w:cs="Arial"/>
          <w:sz w:val="24"/>
          <w:szCs w:val="24"/>
        </w:rPr>
        <w:t xml:space="preserve"> </w:t>
      </w:r>
    </w:p>
    <w:p w:rsidR="00D254BE" w:rsidRDefault="00D254BE">
      <w:pPr>
        <w:spacing w:after="0" w:line="276" w:lineRule="auto"/>
        <w:rPr>
          <w:rFonts w:ascii="Arial" w:eastAsia="Arial" w:hAnsi="Arial" w:cs="Arial"/>
          <w:b/>
          <w:sz w:val="24"/>
          <w:szCs w:val="24"/>
        </w:rPr>
      </w:pPr>
    </w:p>
    <w:p w:rsidR="00D254BE" w:rsidRDefault="00606E42">
      <w:pPr>
        <w:spacing w:after="0" w:line="276" w:lineRule="auto"/>
        <w:rPr>
          <w:rFonts w:ascii="Arial" w:eastAsia="Arial" w:hAnsi="Arial" w:cs="Arial"/>
          <w:b/>
          <w:sz w:val="24"/>
          <w:szCs w:val="24"/>
        </w:rPr>
      </w:pPr>
      <w:r>
        <w:rPr>
          <w:rFonts w:ascii="Arial" w:eastAsia="Arial" w:hAnsi="Arial" w:cs="Arial"/>
          <w:b/>
          <w:sz w:val="24"/>
          <w:szCs w:val="24"/>
        </w:rPr>
        <w:t>PARA</w:t>
      </w:r>
      <w:r>
        <w:rPr>
          <w:rFonts w:ascii="Arial" w:eastAsia="Arial" w:hAnsi="Arial" w:cs="Arial"/>
          <w:sz w:val="24"/>
          <w:szCs w:val="24"/>
        </w:rPr>
        <w:t xml:space="preserve">: </w:t>
      </w:r>
      <w:r>
        <w:rPr>
          <w:rFonts w:ascii="Arial" w:eastAsia="Arial" w:hAnsi="Arial" w:cs="Arial"/>
          <w:sz w:val="24"/>
          <w:szCs w:val="24"/>
        </w:rPr>
        <w:tab/>
      </w:r>
      <w:r w:rsidR="00213227">
        <w:rPr>
          <w:rFonts w:ascii="Arial" w:eastAsia="Arial" w:hAnsi="Arial" w:cs="Arial"/>
          <w:b/>
          <w:sz w:val="24"/>
          <w:szCs w:val="24"/>
        </w:rPr>
        <w:t>DAVID ANTONIO GARZÓN FANDIÑO</w:t>
      </w:r>
      <w:r>
        <w:rPr>
          <w:rFonts w:ascii="Arial" w:eastAsia="Arial" w:hAnsi="Arial" w:cs="Arial"/>
          <w:b/>
          <w:sz w:val="24"/>
          <w:szCs w:val="24"/>
        </w:rPr>
        <w:t xml:space="preserve"> </w:t>
      </w:r>
    </w:p>
    <w:p w:rsidR="00213227" w:rsidRDefault="00213227">
      <w:pPr>
        <w:spacing w:after="0" w:line="276" w:lineRule="auto"/>
        <w:ind w:left="1428" w:firstLine="11"/>
        <w:jc w:val="both"/>
        <w:rPr>
          <w:rFonts w:ascii="Arial" w:eastAsia="Arial" w:hAnsi="Arial" w:cs="Arial"/>
          <w:sz w:val="24"/>
          <w:szCs w:val="24"/>
        </w:rPr>
      </w:pPr>
      <w:r>
        <w:rPr>
          <w:rFonts w:ascii="Arial" w:eastAsia="Arial" w:hAnsi="Arial" w:cs="Arial"/>
          <w:sz w:val="24"/>
          <w:szCs w:val="24"/>
        </w:rPr>
        <w:t xml:space="preserve">Subsecretario </w:t>
      </w:r>
      <w:r w:rsidR="00606E42">
        <w:rPr>
          <w:rFonts w:ascii="Arial" w:eastAsia="Arial" w:hAnsi="Arial" w:cs="Arial"/>
          <w:sz w:val="24"/>
          <w:szCs w:val="24"/>
        </w:rPr>
        <w:t>Comisión Segunda Permanente de Gobierno</w:t>
      </w:r>
    </w:p>
    <w:p w:rsidR="00D254BE" w:rsidRDefault="00606E42">
      <w:pPr>
        <w:spacing w:after="0" w:line="276" w:lineRule="auto"/>
        <w:ind w:left="1428" w:firstLine="11"/>
        <w:jc w:val="both"/>
        <w:rPr>
          <w:rFonts w:ascii="Arial" w:eastAsia="Arial" w:hAnsi="Arial" w:cs="Arial"/>
          <w:sz w:val="24"/>
          <w:szCs w:val="24"/>
        </w:rPr>
      </w:pPr>
      <w:r>
        <w:rPr>
          <w:rFonts w:ascii="Arial" w:eastAsia="Arial" w:hAnsi="Arial" w:cs="Arial"/>
          <w:sz w:val="24"/>
          <w:szCs w:val="24"/>
        </w:rPr>
        <w:t xml:space="preserve">               </w:t>
      </w:r>
      <w:r>
        <w:rPr>
          <w:rFonts w:ascii="Arial" w:eastAsia="Arial" w:hAnsi="Arial" w:cs="Arial"/>
          <w:sz w:val="24"/>
          <w:szCs w:val="24"/>
        </w:rPr>
        <w:tab/>
        <w:t xml:space="preserve">   </w:t>
      </w:r>
    </w:p>
    <w:p w:rsidR="00D254BE" w:rsidRDefault="00606E42">
      <w:pPr>
        <w:spacing w:after="0" w:line="276" w:lineRule="auto"/>
        <w:jc w:val="center"/>
        <w:rPr>
          <w:rFonts w:ascii="Arial" w:eastAsia="Arial" w:hAnsi="Arial" w:cs="Arial"/>
          <w:sz w:val="24"/>
          <w:szCs w:val="24"/>
        </w:rPr>
      </w:pPr>
      <w:r>
        <w:rPr>
          <w:rFonts w:ascii="Arial" w:eastAsia="Arial" w:hAnsi="Arial" w:cs="Arial"/>
          <w:sz w:val="24"/>
          <w:szCs w:val="24"/>
        </w:rPr>
        <w:t xml:space="preserve"> </w:t>
      </w:r>
    </w:p>
    <w:p w:rsidR="00D254BE" w:rsidRDefault="00606E42">
      <w:pPr>
        <w:spacing w:after="0" w:line="276" w:lineRule="auto"/>
        <w:ind w:left="1133" w:hanging="1133"/>
        <w:rPr>
          <w:rFonts w:ascii="Arial" w:eastAsia="Arial" w:hAnsi="Arial" w:cs="Arial"/>
          <w:sz w:val="24"/>
          <w:szCs w:val="24"/>
        </w:rPr>
      </w:pPr>
      <w:r>
        <w:rPr>
          <w:rFonts w:ascii="Arial" w:eastAsia="Arial" w:hAnsi="Arial" w:cs="Arial"/>
          <w:b/>
          <w:sz w:val="24"/>
          <w:szCs w:val="24"/>
        </w:rPr>
        <w:t>DE</w:t>
      </w:r>
      <w:r>
        <w:rPr>
          <w:rFonts w:ascii="Arial" w:eastAsia="Arial" w:hAnsi="Arial" w:cs="Arial"/>
          <w:sz w:val="24"/>
          <w:szCs w:val="24"/>
        </w:rPr>
        <w:t xml:space="preserve">:       </w:t>
      </w:r>
      <w:r>
        <w:rPr>
          <w:rFonts w:ascii="Arial" w:eastAsia="Arial" w:hAnsi="Arial" w:cs="Arial"/>
          <w:sz w:val="24"/>
          <w:szCs w:val="24"/>
        </w:rPr>
        <w:tab/>
      </w:r>
      <w:r w:rsidRPr="00213227">
        <w:rPr>
          <w:rFonts w:ascii="Arial" w:eastAsia="Arial" w:hAnsi="Arial" w:cs="Arial"/>
          <w:b/>
          <w:sz w:val="24"/>
          <w:szCs w:val="24"/>
        </w:rPr>
        <w:tab/>
        <w:t>H.C. GERMÁN AUGUSTO GARCÍA MAYA</w:t>
      </w:r>
      <w:r>
        <w:rPr>
          <w:rFonts w:ascii="Arial" w:eastAsia="Arial" w:hAnsi="Arial" w:cs="Arial"/>
          <w:sz w:val="24"/>
          <w:szCs w:val="24"/>
        </w:rPr>
        <w:t xml:space="preserve"> (Coordinador ponente)</w:t>
      </w:r>
    </w:p>
    <w:p w:rsidR="00D254BE" w:rsidRDefault="00606E42">
      <w:pPr>
        <w:spacing w:after="0" w:line="276" w:lineRule="auto"/>
        <w:ind w:left="2573" w:hanging="1133"/>
        <w:rPr>
          <w:rFonts w:ascii="Arial" w:eastAsia="Arial" w:hAnsi="Arial" w:cs="Arial"/>
          <w:sz w:val="24"/>
          <w:szCs w:val="24"/>
        </w:rPr>
      </w:pPr>
      <w:r w:rsidRPr="00213227">
        <w:rPr>
          <w:rFonts w:ascii="Arial" w:eastAsia="Arial" w:hAnsi="Arial" w:cs="Arial"/>
          <w:b/>
          <w:sz w:val="24"/>
          <w:szCs w:val="24"/>
        </w:rPr>
        <w:t>H.C. FERNANDO LÓPEZ GUTIÉRREZ</w:t>
      </w:r>
      <w:r>
        <w:rPr>
          <w:rFonts w:ascii="Arial" w:eastAsia="Arial" w:hAnsi="Arial" w:cs="Arial"/>
          <w:sz w:val="24"/>
          <w:szCs w:val="24"/>
        </w:rPr>
        <w:t xml:space="preserve"> (Ponente)</w:t>
      </w:r>
    </w:p>
    <w:p w:rsidR="00D254BE" w:rsidRDefault="00606E42">
      <w:pPr>
        <w:spacing w:after="0" w:line="276" w:lineRule="auto"/>
        <w:ind w:left="850" w:hanging="850"/>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
    <w:p w:rsidR="00D254BE" w:rsidRDefault="00606E42">
      <w:pPr>
        <w:spacing w:after="0" w:line="276" w:lineRule="auto"/>
        <w:jc w:val="center"/>
        <w:rPr>
          <w:rFonts w:ascii="Arial" w:eastAsia="Arial" w:hAnsi="Arial" w:cs="Arial"/>
          <w:sz w:val="24"/>
          <w:szCs w:val="24"/>
        </w:rPr>
      </w:pPr>
      <w:r>
        <w:rPr>
          <w:rFonts w:ascii="Arial" w:eastAsia="Arial" w:hAnsi="Arial" w:cs="Arial"/>
          <w:sz w:val="24"/>
          <w:szCs w:val="24"/>
        </w:rPr>
        <w:t xml:space="preserve"> </w:t>
      </w:r>
    </w:p>
    <w:p w:rsidR="00D254BE" w:rsidRDefault="00606E42">
      <w:pPr>
        <w:spacing w:after="0" w:line="276" w:lineRule="auto"/>
        <w:jc w:val="both"/>
        <w:rPr>
          <w:rFonts w:ascii="Arial" w:eastAsia="Arial" w:hAnsi="Arial" w:cs="Arial"/>
          <w:sz w:val="24"/>
          <w:szCs w:val="24"/>
        </w:rPr>
      </w:pPr>
      <w:r>
        <w:rPr>
          <w:rFonts w:ascii="Arial" w:eastAsia="Arial" w:hAnsi="Arial" w:cs="Arial"/>
          <w:b/>
          <w:sz w:val="24"/>
          <w:szCs w:val="24"/>
        </w:rPr>
        <w:t>ASUNTO:</w:t>
      </w:r>
      <w:r>
        <w:rPr>
          <w:rFonts w:ascii="Arial" w:eastAsia="Arial" w:hAnsi="Arial" w:cs="Arial"/>
          <w:sz w:val="24"/>
          <w:szCs w:val="24"/>
        </w:rPr>
        <w:t xml:space="preserve">  </w:t>
      </w:r>
      <w:r>
        <w:rPr>
          <w:rFonts w:ascii="Arial" w:eastAsia="Arial" w:hAnsi="Arial" w:cs="Arial"/>
          <w:sz w:val="24"/>
          <w:szCs w:val="24"/>
        </w:rPr>
        <w:tab/>
        <w:t>Ponencia Positiva Conjunta al Proyecto de Acuerdo No. 529 de 2025.</w:t>
      </w:r>
    </w:p>
    <w:p w:rsidR="00D254BE" w:rsidRDefault="00606E42">
      <w:pPr>
        <w:spacing w:after="0" w:line="276" w:lineRule="auto"/>
        <w:ind w:left="2840" w:hanging="1420"/>
        <w:jc w:val="center"/>
        <w:rPr>
          <w:rFonts w:ascii="Arial" w:eastAsia="Arial" w:hAnsi="Arial" w:cs="Arial"/>
          <w:sz w:val="24"/>
          <w:szCs w:val="24"/>
        </w:rPr>
      </w:pPr>
      <w:r>
        <w:rPr>
          <w:rFonts w:ascii="Arial" w:eastAsia="Arial" w:hAnsi="Arial" w:cs="Arial"/>
          <w:sz w:val="24"/>
          <w:szCs w:val="24"/>
        </w:rPr>
        <w:t xml:space="preserve"> </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 xml:space="preserve">Apreciado </w:t>
      </w:r>
      <w:r w:rsidR="008A1E4C">
        <w:rPr>
          <w:rFonts w:ascii="Arial" w:eastAsia="Arial" w:hAnsi="Arial" w:cs="Arial"/>
          <w:sz w:val="24"/>
          <w:szCs w:val="24"/>
        </w:rPr>
        <w:t>Subsecretario</w:t>
      </w:r>
      <w:r>
        <w:rPr>
          <w:rFonts w:ascii="Arial" w:eastAsia="Arial" w:hAnsi="Arial" w:cs="Arial"/>
          <w:sz w:val="24"/>
          <w:szCs w:val="24"/>
        </w:rPr>
        <w:t>,</w:t>
      </w:r>
    </w:p>
    <w:p w:rsidR="00D254BE" w:rsidRDefault="00D254BE">
      <w:pPr>
        <w:spacing w:after="0" w:line="276" w:lineRule="auto"/>
        <w:jc w:val="both"/>
        <w:rPr>
          <w:rFonts w:ascii="Arial" w:eastAsia="Arial" w:hAnsi="Arial" w:cs="Arial"/>
          <w:sz w:val="24"/>
          <w:szCs w:val="24"/>
        </w:rPr>
      </w:pP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 xml:space="preserve">Por designación efectuada mediante comunicación con Cordis No2025IE10129 de 30 de mayo de 2025, y comunicado en la misma fecha por parte de la Secretaría General de la Corporación, y encontrándonos dentro del término reglamentario establecido en el Artículo 71 del  Acuerdo 741 de 2019, de manera atenta, nos permitimos radicar digitalmente ante su despacho </w:t>
      </w:r>
      <w:r>
        <w:rPr>
          <w:rFonts w:ascii="Arial" w:eastAsia="Arial" w:hAnsi="Arial" w:cs="Arial"/>
          <w:b/>
          <w:sz w:val="24"/>
          <w:szCs w:val="24"/>
        </w:rPr>
        <w:t>PONENCIA POSITIVA CONJUNTA</w:t>
      </w:r>
      <w:r>
        <w:rPr>
          <w:rFonts w:ascii="Arial" w:eastAsia="Arial" w:hAnsi="Arial" w:cs="Arial"/>
          <w:sz w:val="24"/>
          <w:szCs w:val="24"/>
        </w:rPr>
        <w:t xml:space="preserve"> al Proyecto de Acuerdo Nº 529 de 2025 </w:t>
      </w:r>
      <w:r>
        <w:rPr>
          <w:rFonts w:ascii="Arial" w:eastAsia="Arial" w:hAnsi="Arial" w:cs="Arial"/>
          <w:i/>
          <w:sz w:val="24"/>
          <w:szCs w:val="24"/>
        </w:rPr>
        <w:t xml:space="preserve">“POR MEDIO DEL CUAL SE MODIFICA EL ACUERDO 23 DE 1998, QUE OTORGA LA ORDEN CIVIL AL MÉRITO PERIODÍSTICO, ÁLVARO GÓMEZ HURTADO”, </w:t>
      </w:r>
      <w:r>
        <w:rPr>
          <w:rFonts w:ascii="Arial" w:eastAsia="Arial" w:hAnsi="Arial" w:cs="Arial"/>
          <w:sz w:val="24"/>
          <w:szCs w:val="24"/>
        </w:rPr>
        <w:t>de autoría del H.C. Samir Abisambra Vesga.</w:t>
      </w:r>
    </w:p>
    <w:p w:rsidR="00D254BE" w:rsidRDefault="00D254BE">
      <w:pPr>
        <w:spacing w:after="0" w:line="276" w:lineRule="auto"/>
        <w:jc w:val="both"/>
        <w:rPr>
          <w:rFonts w:ascii="Arial" w:eastAsia="Arial" w:hAnsi="Arial" w:cs="Arial"/>
          <w:i/>
          <w:sz w:val="24"/>
          <w:szCs w:val="24"/>
        </w:rPr>
      </w:pP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Agradecemos su amable gestión.</w:t>
      </w:r>
    </w:p>
    <w:p w:rsidR="00D254BE" w:rsidRDefault="00D254BE">
      <w:pPr>
        <w:spacing w:after="0" w:line="276" w:lineRule="auto"/>
        <w:jc w:val="both"/>
        <w:rPr>
          <w:rFonts w:ascii="Arial" w:eastAsia="Arial" w:hAnsi="Arial" w:cs="Arial"/>
          <w:sz w:val="24"/>
          <w:szCs w:val="24"/>
        </w:rPr>
      </w:pP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Cordialmente,</w:t>
      </w:r>
    </w:p>
    <w:p w:rsidR="00D254BE" w:rsidRDefault="00D254BE">
      <w:pPr>
        <w:jc w:val="center"/>
        <w:rPr>
          <w:rFonts w:ascii="Arial" w:eastAsia="Arial" w:hAnsi="Arial" w:cs="Arial"/>
          <w:sz w:val="24"/>
          <w:szCs w:val="24"/>
        </w:rPr>
      </w:pPr>
    </w:p>
    <w:p w:rsidR="00D254BE" w:rsidRDefault="00095478" w:rsidP="00095478">
      <w:pPr>
        <w:tabs>
          <w:tab w:val="left" w:pos="915"/>
          <w:tab w:val="left" w:pos="6405"/>
        </w:tabs>
        <w:spacing w:after="0" w:line="276" w:lineRule="auto"/>
        <w:jc w:val="both"/>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p>
    <w:p w:rsidR="00D254BE" w:rsidRDefault="00D254BE">
      <w:pPr>
        <w:spacing w:after="0" w:line="276" w:lineRule="auto"/>
        <w:jc w:val="both"/>
        <w:rPr>
          <w:rFonts w:ascii="Arial" w:eastAsia="Arial" w:hAnsi="Arial" w:cs="Arial"/>
          <w:sz w:val="24"/>
          <w:szCs w:val="24"/>
        </w:rPr>
      </w:pPr>
    </w:p>
    <w:p w:rsidR="00D254BE" w:rsidRDefault="00606E42">
      <w:pPr>
        <w:spacing w:after="0" w:line="276" w:lineRule="auto"/>
        <w:jc w:val="both"/>
        <w:rPr>
          <w:rFonts w:ascii="Arial" w:eastAsia="Arial" w:hAnsi="Arial" w:cs="Arial"/>
          <w:b/>
          <w:sz w:val="24"/>
          <w:szCs w:val="24"/>
        </w:rPr>
      </w:pPr>
      <w:r>
        <w:rPr>
          <w:rFonts w:ascii="Arial" w:eastAsia="Arial" w:hAnsi="Arial" w:cs="Arial"/>
          <w:b/>
          <w:sz w:val="24"/>
          <w:szCs w:val="24"/>
        </w:rPr>
        <w:t xml:space="preserve">GERMÁN AUGUSTO GARCÍA MAYA </w:t>
      </w:r>
      <w:r>
        <w:rPr>
          <w:rFonts w:ascii="Arial" w:eastAsia="Arial" w:hAnsi="Arial" w:cs="Arial"/>
          <w:b/>
          <w:sz w:val="24"/>
          <w:szCs w:val="24"/>
        </w:rPr>
        <w:tab/>
      </w:r>
      <w:r>
        <w:rPr>
          <w:rFonts w:ascii="Arial" w:eastAsia="Arial" w:hAnsi="Arial" w:cs="Arial"/>
          <w:b/>
          <w:sz w:val="24"/>
          <w:szCs w:val="24"/>
        </w:rPr>
        <w:tab/>
        <w:t>FERNANDOLÓPEZ GUTIÉRREZ</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 xml:space="preserve">Concejal de Bogotá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Concejal de Bogotá </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Partido Liberal Colombiano</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Partido Nuevo Liberalismo</w:t>
      </w:r>
    </w:p>
    <w:p w:rsidR="00D254BE" w:rsidRDefault="00D254BE">
      <w:pPr>
        <w:rPr>
          <w:rFonts w:ascii="Arial" w:eastAsia="Arial" w:hAnsi="Arial" w:cs="Arial"/>
          <w:sz w:val="24"/>
          <w:szCs w:val="24"/>
        </w:rPr>
      </w:pPr>
    </w:p>
    <w:p w:rsidR="00D254BE" w:rsidRDefault="00606E42">
      <w:pPr>
        <w:jc w:val="center"/>
        <w:rPr>
          <w:rFonts w:ascii="Arial" w:eastAsia="Arial" w:hAnsi="Arial" w:cs="Arial"/>
          <w:b/>
          <w:sz w:val="24"/>
          <w:szCs w:val="24"/>
        </w:rPr>
      </w:pPr>
      <w:r>
        <w:rPr>
          <w:rFonts w:ascii="Arial" w:eastAsia="Arial" w:hAnsi="Arial" w:cs="Arial"/>
          <w:b/>
          <w:sz w:val="24"/>
          <w:szCs w:val="24"/>
        </w:rPr>
        <w:lastRenderedPageBreak/>
        <w:t>PONENCIA PARA PRIMER DEBATE AL PROYECTO DE ACUERDO No. 529 DE 2025</w:t>
      </w:r>
    </w:p>
    <w:p w:rsidR="00D254BE" w:rsidRDefault="00606E42">
      <w:pPr>
        <w:spacing w:after="0" w:line="276" w:lineRule="auto"/>
        <w:jc w:val="center"/>
        <w:rPr>
          <w:rFonts w:ascii="Arial" w:eastAsia="Arial" w:hAnsi="Arial" w:cs="Arial"/>
          <w:b/>
          <w:sz w:val="24"/>
          <w:szCs w:val="24"/>
        </w:rPr>
      </w:pPr>
      <w:r>
        <w:rPr>
          <w:rFonts w:ascii="Arial" w:eastAsia="Arial" w:hAnsi="Arial" w:cs="Arial"/>
          <w:b/>
          <w:i/>
          <w:sz w:val="24"/>
          <w:szCs w:val="24"/>
        </w:rPr>
        <w:t>“POR MEDIO DEL CUAL SE MODIFICA EL ACUERDO 23 DE 1998, QUE OTORGA LA ORDEN CIVIL AL MÉRITO PERIODÍSTICO, ÁLVARO GÓMEZ HURTADO”</w:t>
      </w:r>
    </w:p>
    <w:p w:rsidR="00D254BE" w:rsidRDefault="00D254BE">
      <w:pPr>
        <w:jc w:val="both"/>
        <w:rPr>
          <w:rFonts w:ascii="Arial" w:eastAsia="Arial" w:hAnsi="Arial" w:cs="Arial"/>
          <w:sz w:val="24"/>
          <w:szCs w:val="24"/>
        </w:rPr>
      </w:pPr>
    </w:p>
    <w:p w:rsidR="00D254BE" w:rsidRDefault="00606E42">
      <w:pPr>
        <w:jc w:val="both"/>
        <w:rPr>
          <w:rFonts w:ascii="Arial" w:eastAsia="Arial" w:hAnsi="Arial" w:cs="Arial"/>
          <w:b/>
          <w:sz w:val="24"/>
          <w:szCs w:val="24"/>
        </w:rPr>
      </w:pPr>
      <w:r>
        <w:rPr>
          <w:rFonts w:ascii="Arial" w:eastAsia="Arial" w:hAnsi="Arial" w:cs="Arial"/>
          <w:b/>
          <w:sz w:val="24"/>
          <w:szCs w:val="24"/>
        </w:rPr>
        <w:t>I. OBJETO DEL PROYECTO</w:t>
      </w:r>
    </w:p>
    <w:p w:rsidR="00D254BE" w:rsidRDefault="00606E42">
      <w:pPr>
        <w:spacing w:before="120" w:after="0" w:line="276" w:lineRule="auto"/>
        <w:jc w:val="both"/>
        <w:rPr>
          <w:rFonts w:ascii="Arial" w:eastAsia="Arial" w:hAnsi="Arial" w:cs="Arial"/>
          <w:sz w:val="24"/>
          <w:szCs w:val="24"/>
        </w:rPr>
      </w:pPr>
      <w:r>
        <w:rPr>
          <w:rFonts w:ascii="Arial" w:eastAsia="Arial" w:hAnsi="Arial" w:cs="Arial"/>
          <w:sz w:val="24"/>
          <w:szCs w:val="24"/>
        </w:rPr>
        <w:t>Acorde lo expresado por el autor, el presente Proyecto de Acuerdo tiene como objetivo modificar y actualizar el Acuerdo 23 de 1998, mediante el cual se creó la Orden Civil al Mérito Periodístico Álvaro Gómez Hurtado, con el fin de:</w:t>
      </w:r>
    </w:p>
    <w:p w:rsidR="00D254BE" w:rsidRDefault="00606E42">
      <w:pPr>
        <w:numPr>
          <w:ilvl w:val="0"/>
          <w:numId w:val="1"/>
        </w:numPr>
        <w:spacing w:before="120" w:after="0" w:line="276" w:lineRule="auto"/>
        <w:jc w:val="both"/>
        <w:rPr>
          <w:rFonts w:ascii="Arial" w:eastAsia="Arial" w:hAnsi="Arial" w:cs="Arial"/>
          <w:sz w:val="24"/>
          <w:szCs w:val="24"/>
        </w:rPr>
      </w:pPr>
      <w:r>
        <w:rPr>
          <w:rFonts w:ascii="Arial" w:eastAsia="Arial" w:hAnsi="Arial" w:cs="Arial"/>
          <w:sz w:val="24"/>
          <w:szCs w:val="24"/>
        </w:rPr>
        <w:t>Modernizar los elementos simbólicos que componen la distinción, dotándolos de mayor contenido representativo y ceremonial.</w:t>
      </w:r>
    </w:p>
    <w:p w:rsidR="00D254BE" w:rsidRDefault="00606E42">
      <w:pPr>
        <w:numPr>
          <w:ilvl w:val="0"/>
          <w:numId w:val="1"/>
        </w:numPr>
        <w:spacing w:after="0" w:line="276" w:lineRule="auto"/>
        <w:jc w:val="both"/>
        <w:rPr>
          <w:rFonts w:ascii="Arial" w:eastAsia="Arial" w:hAnsi="Arial" w:cs="Arial"/>
          <w:sz w:val="24"/>
          <w:szCs w:val="24"/>
        </w:rPr>
      </w:pPr>
      <w:r>
        <w:rPr>
          <w:rFonts w:ascii="Arial" w:eastAsia="Arial" w:hAnsi="Arial" w:cs="Arial"/>
          <w:sz w:val="24"/>
          <w:szCs w:val="24"/>
        </w:rPr>
        <w:t>Reformular la composición del Comité de Jurados, garantizando su legitimidad técnica, diversidad institucional y representatividad gremial y académica.</w:t>
      </w:r>
    </w:p>
    <w:p w:rsidR="00D254BE" w:rsidRDefault="00606E42">
      <w:pPr>
        <w:numPr>
          <w:ilvl w:val="0"/>
          <w:numId w:val="1"/>
        </w:numPr>
        <w:spacing w:after="0" w:line="276" w:lineRule="auto"/>
        <w:jc w:val="both"/>
        <w:rPr>
          <w:rFonts w:ascii="Arial" w:eastAsia="Arial" w:hAnsi="Arial" w:cs="Arial"/>
          <w:sz w:val="24"/>
          <w:szCs w:val="24"/>
        </w:rPr>
      </w:pPr>
      <w:r>
        <w:rPr>
          <w:rFonts w:ascii="Arial" w:eastAsia="Arial" w:hAnsi="Arial" w:cs="Arial"/>
          <w:sz w:val="24"/>
          <w:szCs w:val="24"/>
        </w:rPr>
        <w:t>Ampliar y diversificar las categorías de premiación, incorporando formatos emergentes del periodismo digital, tales como el vodcast, el contenido exclusivo en redes sociales y la innovación periodística, sin excluir los géneros tradicionales.</w:t>
      </w:r>
    </w:p>
    <w:p w:rsidR="00D254BE" w:rsidRDefault="00606E42">
      <w:pPr>
        <w:numPr>
          <w:ilvl w:val="0"/>
          <w:numId w:val="1"/>
        </w:numPr>
        <w:spacing w:after="0" w:line="276" w:lineRule="auto"/>
        <w:jc w:val="both"/>
        <w:rPr>
          <w:rFonts w:ascii="Arial" w:eastAsia="Arial" w:hAnsi="Arial" w:cs="Arial"/>
          <w:sz w:val="24"/>
          <w:szCs w:val="24"/>
        </w:rPr>
      </w:pPr>
      <w:r>
        <w:rPr>
          <w:rFonts w:ascii="Arial" w:eastAsia="Arial" w:hAnsi="Arial" w:cs="Arial"/>
          <w:sz w:val="24"/>
          <w:szCs w:val="24"/>
        </w:rPr>
        <w:t>Fortalecer el reconocimiento institucional a periodistas que, desde diversos medios y enfoques, contribuyen con rigor, ética e impacto social a la construcción de ciudad y democracia en Bogotá D.C.</w:t>
      </w:r>
    </w:p>
    <w:p w:rsidR="00D254BE" w:rsidRDefault="00D254BE">
      <w:pPr>
        <w:spacing w:before="120" w:after="0" w:line="276" w:lineRule="auto"/>
        <w:jc w:val="both"/>
        <w:rPr>
          <w:rFonts w:ascii="Arial" w:eastAsia="Arial" w:hAnsi="Arial" w:cs="Arial"/>
          <w:sz w:val="24"/>
          <w:szCs w:val="24"/>
        </w:rPr>
      </w:pPr>
    </w:p>
    <w:p w:rsidR="00D254BE" w:rsidRDefault="00606E42">
      <w:pPr>
        <w:jc w:val="both"/>
        <w:rPr>
          <w:rFonts w:ascii="Arial" w:eastAsia="Arial" w:hAnsi="Arial" w:cs="Arial"/>
          <w:sz w:val="24"/>
          <w:szCs w:val="24"/>
        </w:rPr>
      </w:pPr>
      <w:r>
        <w:rPr>
          <w:rFonts w:ascii="Arial" w:eastAsia="Arial" w:hAnsi="Arial" w:cs="Arial"/>
          <w:b/>
          <w:sz w:val="24"/>
          <w:szCs w:val="24"/>
        </w:rPr>
        <w:t>II. ANTECEDENTES</w:t>
      </w:r>
    </w:p>
    <w:tbl>
      <w:tblPr>
        <w:tblStyle w:val="af5"/>
        <w:tblW w:w="89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25"/>
        <w:gridCol w:w="6360"/>
      </w:tblGrid>
      <w:tr w:rsidR="00D254BE">
        <w:tc>
          <w:tcPr>
            <w:tcW w:w="2625" w:type="dxa"/>
          </w:tcPr>
          <w:p w:rsidR="00D254BE" w:rsidRDefault="00606E42">
            <w:pPr>
              <w:jc w:val="center"/>
              <w:rPr>
                <w:rFonts w:ascii="Arial" w:eastAsia="Arial" w:hAnsi="Arial" w:cs="Arial"/>
                <w:b/>
                <w:sz w:val="24"/>
                <w:szCs w:val="24"/>
              </w:rPr>
            </w:pPr>
            <w:r>
              <w:rPr>
                <w:rFonts w:ascii="Arial" w:eastAsia="Arial" w:hAnsi="Arial" w:cs="Arial"/>
                <w:b/>
                <w:sz w:val="24"/>
                <w:szCs w:val="24"/>
              </w:rPr>
              <w:t>Proyecto de Acuerdo</w:t>
            </w:r>
          </w:p>
          <w:p w:rsidR="00D254BE" w:rsidRDefault="00D254BE">
            <w:pPr>
              <w:jc w:val="center"/>
              <w:rPr>
                <w:rFonts w:ascii="Arial" w:eastAsia="Arial" w:hAnsi="Arial" w:cs="Arial"/>
                <w:b/>
                <w:sz w:val="24"/>
                <w:szCs w:val="24"/>
              </w:rPr>
            </w:pPr>
          </w:p>
        </w:tc>
        <w:tc>
          <w:tcPr>
            <w:tcW w:w="6360" w:type="dxa"/>
          </w:tcPr>
          <w:p w:rsidR="00D254BE" w:rsidRDefault="00606E42">
            <w:pPr>
              <w:jc w:val="center"/>
              <w:rPr>
                <w:rFonts w:ascii="Arial" w:eastAsia="Arial" w:hAnsi="Arial" w:cs="Arial"/>
                <w:b/>
                <w:sz w:val="24"/>
                <w:szCs w:val="24"/>
              </w:rPr>
            </w:pPr>
            <w:r>
              <w:rPr>
                <w:rFonts w:ascii="Arial" w:eastAsia="Arial" w:hAnsi="Arial" w:cs="Arial"/>
                <w:b/>
                <w:sz w:val="24"/>
                <w:szCs w:val="24"/>
              </w:rPr>
              <w:t>Título</w:t>
            </w:r>
          </w:p>
        </w:tc>
      </w:tr>
      <w:tr w:rsidR="00D254BE">
        <w:tc>
          <w:tcPr>
            <w:tcW w:w="2625" w:type="dxa"/>
          </w:tcPr>
          <w:p w:rsidR="00D254BE" w:rsidRDefault="00606E42">
            <w:pPr>
              <w:spacing w:before="120" w:line="276" w:lineRule="auto"/>
              <w:jc w:val="both"/>
              <w:rPr>
                <w:rFonts w:ascii="Arial" w:eastAsia="Arial" w:hAnsi="Arial" w:cs="Arial"/>
                <w:sz w:val="24"/>
                <w:szCs w:val="24"/>
              </w:rPr>
            </w:pPr>
            <w:r>
              <w:rPr>
                <w:rFonts w:ascii="Arial" w:eastAsia="Arial" w:hAnsi="Arial" w:cs="Arial"/>
                <w:sz w:val="24"/>
                <w:szCs w:val="24"/>
              </w:rPr>
              <w:t xml:space="preserve"> Acuerdo 23 de 1998</w:t>
            </w:r>
          </w:p>
        </w:tc>
        <w:tc>
          <w:tcPr>
            <w:tcW w:w="6360" w:type="dxa"/>
          </w:tcPr>
          <w:p w:rsidR="00D254BE" w:rsidRDefault="00606E42">
            <w:pPr>
              <w:jc w:val="both"/>
              <w:rPr>
                <w:rFonts w:ascii="Arial" w:eastAsia="Arial" w:hAnsi="Arial" w:cs="Arial"/>
                <w:sz w:val="24"/>
                <w:szCs w:val="24"/>
              </w:rPr>
            </w:pPr>
            <w:r>
              <w:rPr>
                <w:rFonts w:ascii="Arial" w:eastAsia="Arial" w:hAnsi="Arial" w:cs="Arial"/>
                <w:color w:val="333333"/>
                <w:sz w:val="24"/>
                <w:szCs w:val="24"/>
                <w:highlight w:val="white"/>
              </w:rPr>
              <w:t>Por medio del cual se crea la Orden Civil al Mérito Periodístico Álvaro Gómez Hurtado</w:t>
            </w:r>
            <w:r>
              <w:rPr>
                <w:rFonts w:ascii="Arial" w:eastAsia="Arial" w:hAnsi="Arial" w:cs="Arial"/>
                <w:b/>
                <w:color w:val="333333"/>
                <w:sz w:val="24"/>
                <w:szCs w:val="24"/>
                <w:highlight w:val="white"/>
              </w:rPr>
              <w:t>.</w:t>
            </w:r>
          </w:p>
        </w:tc>
      </w:tr>
    </w:tbl>
    <w:p w:rsidR="00D254BE" w:rsidRDefault="00D254BE">
      <w:pPr>
        <w:jc w:val="both"/>
        <w:rPr>
          <w:rFonts w:ascii="Arial" w:eastAsia="Arial" w:hAnsi="Arial" w:cs="Arial"/>
          <w:b/>
          <w:sz w:val="24"/>
          <w:szCs w:val="24"/>
        </w:rPr>
      </w:pPr>
    </w:p>
    <w:p w:rsidR="00D254BE" w:rsidRDefault="00606E42">
      <w:pPr>
        <w:jc w:val="both"/>
        <w:rPr>
          <w:rFonts w:ascii="Arial" w:eastAsia="Arial" w:hAnsi="Arial" w:cs="Arial"/>
          <w:sz w:val="24"/>
          <w:szCs w:val="24"/>
        </w:rPr>
      </w:pPr>
      <w:r>
        <w:rPr>
          <w:rFonts w:ascii="Arial" w:eastAsia="Arial" w:hAnsi="Arial" w:cs="Arial"/>
          <w:b/>
          <w:sz w:val="24"/>
          <w:szCs w:val="24"/>
        </w:rPr>
        <w:t>III. JUSTIFICACIÓN Y ANÁLISIS DE CONVENIENCIA DEL PROYECTO</w:t>
      </w:r>
    </w:p>
    <w:p w:rsidR="00D254BE" w:rsidRDefault="00606E42">
      <w:pPr>
        <w:jc w:val="both"/>
        <w:rPr>
          <w:rFonts w:ascii="Arial" w:eastAsia="Arial" w:hAnsi="Arial" w:cs="Arial"/>
          <w:sz w:val="24"/>
          <w:szCs w:val="24"/>
        </w:rPr>
      </w:pPr>
      <w:r>
        <w:rPr>
          <w:rFonts w:ascii="Arial" w:eastAsia="Arial" w:hAnsi="Arial" w:cs="Arial"/>
          <w:sz w:val="24"/>
          <w:szCs w:val="24"/>
        </w:rPr>
        <w:t xml:space="preserve">El autor expresa que la reforma al Acuerdo 23 de 1998 contempla, entre sus ajustes más relevantes, la actualización de la composición del jurado calificador, la actualización de las categorías de premiación y la creación de dos distinciones </w:t>
      </w:r>
      <w:r>
        <w:rPr>
          <w:rFonts w:ascii="Arial" w:eastAsia="Arial" w:hAnsi="Arial" w:cs="Arial"/>
          <w:sz w:val="24"/>
          <w:szCs w:val="24"/>
        </w:rPr>
        <w:lastRenderedPageBreak/>
        <w:t>especiales, con el fin de asegurar mayor pertinencia técnica, transparencia en la deliberación y conexión con los cambios en la profesión periodística. En este sentido, se retira la representación de la Cámara de Comercio de Bogotá del Comité de Jurados, en tanto se trata de una entidad gremial de carácter empresarial y comercial, sin afinidad sustantiva con los campos del periodismo ni la comunicación social. Su misión institucional está orientada al fortalecimiento del sector empresarial y no al análisis crítico de la calidad periodística, lo que limita su idoneidad para participar en un proceso de evaluación técnica.</w:t>
      </w:r>
    </w:p>
    <w:p w:rsidR="00D254BE" w:rsidRDefault="00606E42">
      <w:pPr>
        <w:jc w:val="both"/>
        <w:rPr>
          <w:rFonts w:ascii="Arial" w:eastAsia="Arial" w:hAnsi="Arial" w:cs="Arial"/>
          <w:sz w:val="24"/>
          <w:szCs w:val="24"/>
        </w:rPr>
      </w:pPr>
      <w:r>
        <w:rPr>
          <w:rFonts w:ascii="Arial" w:eastAsia="Arial" w:hAnsi="Arial" w:cs="Arial"/>
          <w:sz w:val="24"/>
          <w:szCs w:val="24"/>
        </w:rPr>
        <w:t>Con esta decisión, se corrige una incongruencia en la conformación del jurado y se fortalece la representación de la academia en el proceso, pues el lugar que deja la Cámara se asigna a una cuarta facultad de comunicación y/o periodismo, lo cual permite contar con mayor diversidad de enfoques desde la formación universitaria. Asimismo, a la presencia en el jurado, desde la creación, del Círculo de Periodistas de Bogotá (CPB), se suma ahora un nuevo gremio periodístico: la Sociedad Colombiana de Prensa, lo que otorga mayor representatividad a los periodistas debidamente organizados, y reconoce la legitimidad de sus formas asociativas en la defensa y promoción del oficio.</w:t>
      </w:r>
    </w:p>
    <w:p w:rsidR="00D254BE" w:rsidRDefault="00606E42">
      <w:pPr>
        <w:jc w:val="both"/>
        <w:rPr>
          <w:rFonts w:ascii="Arial" w:eastAsia="Arial" w:hAnsi="Arial" w:cs="Arial"/>
          <w:sz w:val="24"/>
          <w:szCs w:val="24"/>
        </w:rPr>
      </w:pPr>
      <w:r>
        <w:rPr>
          <w:rFonts w:ascii="Arial" w:eastAsia="Arial" w:hAnsi="Arial" w:cs="Arial"/>
          <w:sz w:val="24"/>
          <w:szCs w:val="24"/>
        </w:rPr>
        <w:t>De igual forma, se ratifica la permanencia en el jurado de tres representantes del Concejo de Bogotá; a partir de ahora, se propone que esa representación esté en cabeza, y de forma indelegable, de la Mesa Directiva, es decir, de quienes ejerzan la Presidencia,  la Primera Vicepresidencia y la Segunda Vicepresidencia, como símbolo de institucionalidad y compromiso de esta corporación con el periodismo libre, ético y profesional. Su presencia garantiza la continuidad del vínculo entre el Concejo y el reconocimiento público de las mejores prácticas periodísticas al servicio de la ciudadanía.</w:t>
      </w:r>
    </w:p>
    <w:p w:rsidR="00D254BE" w:rsidRDefault="00606E42">
      <w:pPr>
        <w:jc w:val="both"/>
        <w:rPr>
          <w:rFonts w:ascii="Arial" w:eastAsia="Arial" w:hAnsi="Arial" w:cs="Arial"/>
          <w:sz w:val="24"/>
          <w:szCs w:val="24"/>
        </w:rPr>
      </w:pPr>
      <w:r>
        <w:rPr>
          <w:rFonts w:ascii="Arial" w:eastAsia="Arial" w:hAnsi="Arial" w:cs="Arial"/>
          <w:sz w:val="24"/>
          <w:szCs w:val="24"/>
        </w:rPr>
        <w:t xml:space="preserve">En cuanto a las categorías de premiación, se elimina la categoría “Creatividad”, creada sin un enfoque claro o delimitado, lo que ha dificultado su evaluación técnica por parte del jurado y ha generado confusión entre los participantes. Esta categoría, al carecer de criterios objetivos de valoración, ha tenido escasa acogida entre los postulantes, como lo evidencian los bajos niveles de inscripción en convocatorias recientes. No obstante, la valoración de propuestas periodísticas innovadoras, disruptivas y originales se preserva y fortalece mediante la inclusión de nuevas categorías alineadas con los lenguajes contemporáneos y las plataformas digitales. En particular, las categorías de Vodcast y Contenido periodístico exclusivo para redes sociales (YouTube, Facebook, Instagram, Tik Tok y X), que recogen y amplifican el valor de la creatividad, al proponer un marco actualizado y más pertinente para premiar formatos no tradicionales con impacto en las audiencias. A </w:t>
      </w:r>
      <w:r>
        <w:rPr>
          <w:rFonts w:ascii="Arial" w:eastAsia="Arial" w:hAnsi="Arial" w:cs="Arial"/>
          <w:sz w:val="24"/>
          <w:szCs w:val="24"/>
        </w:rPr>
        <w:lastRenderedPageBreak/>
        <w:t>manera de resumen se presenta el Cuadro comparativo # 1 para visualizar los cambios propuestos de las categorías:</w:t>
      </w:r>
    </w:p>
    <w:p w:rsidR="00D254BE" w:rsidRDefault="00606E42">
      <w:pPr>
        <w:spacing w:before="308" w:line="240" w:lineRule="auto"/>
        <w:ind w:right="3173"/>
        <w:jc w:val="right"/>
        <w:rPr>
          <w:rFonts w:ascii="Arial" w:eastAsia="Arial" w:hAnsi="Arial" w:cs="Arial"/>
          <w:b/>
          <w:sz w:val="24"/>
          <w:szCs w:val="24"/>
        </w:rPr>
      </w:pPr>
      <w:r>
        <w:rPr>
          <w:rFonts w:ascii="Arial" w:eastAsia="Arial" w:hAnsi="Arial" w:cs="Arial"/>
          <w:b/>
          <w:sz w:val="24"/>
          <w:szCs w:val="24"/>
        </w:rPr>
        <w:t>Cuadro comparativo # 1</w:t>
      </w:r>
    </w:p>
    <w:tbl>
      <w:tblPr>
        <w:tblStyle w:val="af6"/>
        <w:tblW w:w="8820" w:type="dxa"/>
        <w:tblInd w:w="5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230"/>
        <w:gridCol w:w="4590"/>
      </w:tblGrid>
      <w:tr w:rsidR="00D254BE">
        <w:trPr>
          <w:trHeight w:val="919"/>
        </w:trPr>
        <w:tc>
          <w:tcPr>
            <w:tcW w:w="4230" w:type="dxa"/>
          </w:tcPr>
          <w:p w:rsidR="00D254BE" w:rsidRDefault="00606E42">
            <w:pPr>
              <w:spacing w:line="240" w:lineRule="auto"/>
              <w:jc w:val="center"/>
              <w:rPr>
                <w:rFonts w:ascii="Arial" w:eastAsia="Arial" w:hAnsi="Arial" w:cs="Arial"/>
                <w:b/>
                <w:sz w:val="24"/>
                <w:szCs w:val="24"/>
              </w:rPr>
            </w:pPr>
            <w:r>
              <w:rPr>
                <w:rFonts w:ascii="Arial" w:eastAsia="Arial" w:hAnsi="Arial" w:cs="Arial"/>
                <w:b/>
                <w:sz w:val="24"/>
                <w:szCs w:val="24"/>
              </w:rPr>
              <w:t xml:space="preserve">Categorías Acuerdo 23 de 1998 </w:t>
            </w:r>
          </w:p>
        </w:tc>
        <w:tc>
          <w:tcPr>
            <w:tcW w:w="4590" w:type="dxa"/>
          </w:tcPr>
          <w:p w:rsidR="00D254BE" w:rsidRDefault="00606E42">
            <w:pPr>
              <w:spacing w:line="240" w:lineRule="auto"/>
              <w:ind w:left="180" w:right="149"/>
              <w:jc w:val="center"/>
              <w:rPr>
                <w:rFonts w:ascii="Arial" w:eastAsia="Arial" w:hAnsi="Arial" w:cs="Arial"/>
                <w:b/>
                <w:sz w:val="24"/>
                <w:szCs w:val="24"/>
              </w:rPr>
            </w:pPr>
            <w:r>
              <w:rPr>
                <w:rFonts w:ascii="Arial" w:eastAsia="Arial" w:hAnsi="Arial" w:cs="Arial"/>
                <w:b/>
                <w:sz w:val="24"/>
                <w:szCs w:val="24"/>
              </w:rPr>
              <w:t>Categorías del presente Proyecto de Acuerdo</w:t>
            </w:r>
          </w:p>
        </w:tc>
      </w:tr>
      <w:tr w:rsidR="00D254BE">
        <w:trPr>
          <w:trHeight w:val="424"/>
        </w:trPr>
        <w:tc>
          <w:tcPr>
            <w:tcW w:w="4230" w:type="dxa"/>
          </w:tcPr>
          <w:p w:rsidR="00D254BE" w:rsidRDefault="00606E42">
            <w:pPr>
              <w:spacing w:line="240" w:lineRule="auto"/>
              <w:ind w:left="128"/>
              <w:jc w:val="both"/>
              <w:rPr>
                <w:rFonts w:ascii="Arial" w:eastAsia="Arial" w:hAnsi="Arial" w:cs="Arial"/>
                <w:sz w:val="24"/>
                <w:szCs w:val="24"/>
              </w:rPr>
            </w:pPr>
            <w:r>
              <w:rPr>
                <w:rFonts w:ascii="Arial" w:eastAsia="Arial" w:hAnsi="Arial" w:cs="Arial"/>
                <w:sz w:val="24"/>
                <w:szCs w:val="24"/>
              </w:rPr>
              <w:t xml:space="preserve">Cubrimiento de noticia </w:t>
            </w:r>
          </w:p>
        </w:tc>
        <w:tc>
          <w:tcPr>
            <w:tcW w:w="45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837"/>
        </w:trPr>
        <w:tc>
          <w:tcPr>
            <w:tcW w:w="4230" w:type="dxa"/>
          </w:tcPr>
          <w:p w:rsidR="00D254BE" w:rsidRDefault="00606E42">
            <w:pPr>
              <w:spacing w:line="240" w:lineRule="auto"/>
              <w:ind w:left="127" w:right="123" w:firstLine="8"/>
              <w:jc w:val="both"/>
              <w:rPr>
                <w:rFonts w:ascii="Arial" w:eastAsia="Arial" w:hAnsi="Arial" w:cs="Arial"/>
                <w:sz w:val="24"/>
                <w:szCs w:val="24"/>
              </w:rPr>
            </w:pPr>
            <w:r>
              <w:rPr>
                <w:rFonts w:ascii="Arial" w:eastAsia="Arial" w:hAnsi="Arial" w:cs="Arial"/>
                <w:sz w:val="24"/>
                <w:szCs w:val="24"/>
              </w:rPr>
              <w:t>Narración periodística en reportaje o crónica</w:t>
            </w:r>
          </w:p>
        </w:tc>
        <w:tc>
          <w:tcPr>
            <w:tcW w:w="45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424"/>
        </w:trPr>
        <w:tc>
          <w:tcPr>
            <w:tcW w:w="4230" w:type="dxa"/>
          </w:tcPr>
          <w:p w:rsidR="00D254BE" w:rsidRDefault="00606E42">
            <w:pPr>
              <w:spacing w:line="240" w:lineRule="auto"/>
              <w:ind w:left="138"/>
              <w:jc w:val="both"/>
              <w:rPr>
                <w:rFonts w:ascii="Arial" w:eastAsia="Arial" w:hAnsi="Arial" w:cs="Arial"/>
                <w:sz w:val="24"/>
                <w:szCs w:val="24"/>
              </w:rPr>
            </w:pPr>
            <w:r>
              <w:rPr>
                <w:rFonts w:ascii="Arial" w:eastAsia="Arial" w:hAnsi="Arial" w:cs="Arial"/>
                <w:sz w:val="24"/>
                <w:szCs w:val="24"/>
              </w:rPr>
              <w:t xml:space="preserve">Entrevista </w:t>
            </w:r>
          </w:p>
        </w:tc>
        <w:tc>
          <w:tcPr>
            <w:tcW w:w="45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bl>
    <w:p w:rsidR="00D254BE" w:rsidRDefault="00D254BE">
      <w:pPr>
        <w:spacing w:line="240" w:lineRule="auto"/>
        <w:jc w:val="both"/>
        <w:rPr>
          <w:rFonts w:ascii="Arial" w:eastAsia="Arial" w:hAnsi="Arial" w:cs="Arial"/>
          <w:sz w:val="24"/>
          <w:szCs w:val="24"/>
        </w:rPr>
      </w:pPr>
    </w:p>
    <w:tbl>
      <w:tblPr>
        <w:tblStyle w:val="af7"/>
        <w:tblW w:w="8700" w:type="dxa"/>
        <w:tblInd w:w="52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410"/>
        <w:gridCol w:w="4290"/>
      </w:tblGrid>
      <w:tr w:rsidR="00D254BE">
        <w:trPr>
          <w:trHeight w:val="424"/>
        </w:trPr>
        <w:tc>
          <w:tcPr>
            <w:tcW w:w="4410" w:type="dxa"/>
          </w:tcPr>
          <w:p w:rsidR="00D254BE" w:rsidRDefault="00606E42">
            <w:pPr>
              <w:spacing w:line="240" w:lineRule="auto"/>
              <w:ind w:left="138"/>
              <w:jc w:val="both"/>
              <w:rPr>
                <w:rFonts w:ascii="Arial" w:eastAsia="Arial" w:hAnsi="Arial" w:cs="Arial"/>
                <w:sz w:val="24"/>
                <w:szCs w:val="24"/>
              </w:rPr>
            </w:pPr>
            <w:r>
              <w:rPr>
                <w:rFonts w:ascii="Arial" w:eastAsia="Arial" w:hAnsi="Arial" w:cs="Arial"/>
                <w:sz w:val="24"/>
                <w:szCs w:val="24"/>
              </w:rPr>
              <w:t xml:space="preserve">Periodismo de opinión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422"/>
        </w:trPr>
        <w:tc>
          <w:tcPr>
            <w:tcW w:w="4410" w:type="dxa"/>
          </w:tcPr>
          <w:p w:rsidR="00D254BE" w:rsidRDefault="00606E42">
            <w:pPr>
              <w:spacing w:line="240" w:lineRule="auto"/>
              <w:ind w:left="138"/>
              <w:jc w:val="both"/>
              <w:rPr>
                <w:rFonts w:ascii="Arial" w:eastAsia="Arial" w:hAnsi="Arial" w:cs="Arial"/>
                <w:sz w:val="24"/>
                <w:szCs w:val="24"/>
              </w:rPr>
            </w:pPr>
            <w:r>
              <w:rPr>
                <w:rFonts w:ascii="Arial" w:eastAsia="Arial" w:hAnsi="Arial" w:cs="Arial"/>
                <w:sz w:val="24"/>
                <w:szCs w:val="24"/>
              </w:rPr>
              <w:t xml:space="preserve">Periodismo económico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90"/>
        </w:trPr>
        <w:tc>
          <w:tcPr>
            <w:tcW w:w="4410" w:type="dxa"/>
          </w:tcPr>
          <w:p w:rsidR="00D254BE" w:rsidRDefault="00606E42">
            <w:pPr>
              <w:spacing w:line="240" w:lineRule="auto"/>
              <w:ind w:left="138"/>
              <w:jc w:val="both"/>
              <w:rPr>
                <w:rFonts w:ascii="Arial" w:eastAsia="Arial" w:hAnsi="Arial" w:cs="Arial"/>
                <w:sz w:val="24"/>
                <w:szCs w:val="24"/>
              </w:rPr>
            </w:pPr>
            <w:r>
              <w:rPr>
                <w:rFonts w:ascii="Arial" w:eastAsia="Arial" w:hAnsi="Arial" w:cs="Arial"/>
                <w:sz w:val="24"/>
                <w:szCs w:val="24"/>
              </w:rPr>
              <w:t xml:space="preserve">Fotografía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422"/>
        </w:trPr>
        <w:tc>
          <w:tcPr>
            <w:tcW w:w="4410" w:type="dxa"/>
          </w:tcPr>
          <w:p w:rsidR="00D254BE" w:rsidRDefault="00606E42">
            <w:pPr>
              <w:spacing w:line="240" w:lineRule="auto"/>
              <w:ind w:left="138"/>
              <w:jc w:val="both"/>
              <w:rPr>
                <w:rFonts w:ascii="Arial" w:eastAsia="Arial" w:hAnsi="Arial" w:cs="Arial"/>
                <w:sz w:val="24"/>
                <w:szCs w:val="24"/>
              </w:rPr>
            </w:pPr>
            <w:r>
              <w:rPr>
                <w:rFonts w:ascii="Arial" w:eastAsia="Arial" w:hAnsi="Arial" w:cs="Arial"/>
                <w:sz w:val="24"/>
                <w:szCs w:val="24"/>
              </w:rPr>
              <w:t xml:space="preserve">Periodismo comunitario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422"/>
        </w:trPr>
        <w:tc>
          <w:tcPr>
            <w:tcW w:w="4410" w:type="dxa"/>
          </w:tcPr>
          <w:p w:rsidR="00D254BE" w:rsidRDefault="00606E42">
            <w:pPr>
              <w:spacing w:line="240" w:lineRule="auto"/>
              <w:ind w:left="128"/>
              <w:jc w:val="both"/>
              <w:rPr>
                <w:rFonts w:ascii="Arial" w:eastAsia="Arial" w:hAnsi="Arial" w:cs="Arial"/>
                <w:sz w:val="24"/>
                <w:szCs w:val="24"/>
              </w:rPr>
            </w:pPr>
            <w:r>
              <w:rPr>
                <w:rFonts w:ascii="Arial" w:eastAsia="Arial" w:hAnsi="Arial" w:cs="Arial"/>
                <w:sz w:val="24"/>
                <w:szCs w:val="24"/>
              </w:rPr>
              <w:t xml:space="preserve">Caricatura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mantiene la categoría.</w:t>
            </w:r>
          </w:p>
        </w:tc>
      </w:tr>
      <w:tr w:rsidR="00D254BE">
        <w:trPr>
          <w:trHeight w:val="424"/>
        </w:trPr>
        <w:tc>
          <w:tcPr>
            <w:tcW w:w="4410" w:type="dxa"/>
          </w:tcPr>
          <w:p w:rsidR="00D254BE" w:rsidRDefault="00606E42">
            <w:pPr>
              <w:spacing w:line="240" w:lineRule="auto"/>
              <w:ind w:left="128"/>
              <w:jc w:val="both"/>
              <w:rPr>
                <w:rFonts w:ascii="Arial" w:eastAsia="Arial" w:hAnsi="Arial" w:cs="Arial"/>
                <w:sz w:val="24"/>
                <w:szCs w:val="24"/>
              </w:rPr>
            </w:pPr>
            <w:r>
              <w:rPr>
                <w:rFonts w:ascii="Arial" w:eastAsia="Arial" w:hAnsi="Arial" w:cs="Arial"/>
                <w:sz w:val="24"/>
                <w:szCs w:val="24"/>
              </w:rPr>
              <w:t xml:space="preserve">Creatividad </w:t>
            </w:r>
          </w:p>
        </w:tc>
        <w:tc>
          <w:tcPr>
            <w:tcW w:w="4290" w:type="dxa"/>
          </w:tcPr>
          <w:p w:rsidR="00D254BE" w:rsidRDefault="00606E42">
            <w:pPr>
              <w:spacing w:line="240" w:lineRule="auto"/>
              <w:ind w:left="131"/>
              <w:jc w:val="both"/>
              <w:rPr>
                <w:rFonts w:ascii="Arial" w:eastAsia="Arial" w:hAnsi="Arial" w:cs="Arial"/>
                <w:sz w:val="24"/>
                <w:szCs w:val="24"/>
              </w:rPr>
            </w:pPr>
            <w:r>
              <w:rPr>
                <w:rFonts w:ascii="Arial" w:eastAsia="Arial" w:hAnsi="Arial" w:cs="Arial"/>
                <w:sz w:val="24"/>
                <w:szCs w:val="24"/>
              </w:rPr>
              <w:t>Se elimina la categoría.</w:t>
            </w:r>
          </w:p>
        </w:tc>
      </w:tr>
      <w:tr w:rsidR="00D254BE">
        <w:trPr>
          <w:trHeight w:val="837"/>
        </w:trPr>
        <w:tc>
          <w:tcPr>
            <w:tcW w:w="4410" w:type="dxa"/>
          </w:tcPr>
          <w:p w:rsidR="00D254BE" w:rsidRDefault="00606E42">
            <w:pPr>
              <w:spacing w:line="240" w:lineRule="auto"/>
              <w:ind w:left="135"/>
              <w:jc w:val="both"/>
              <w:rPr>
                <w:rFonts w:ascii="Arial" w:eastAsia="Arial" w:hAnsi="Arial" w:cs="Arial"/>
                <w:sz w:val="24"/>
                <w:szCs w:val="24"/>
              </w:rPr>
            </w:pPr>
            <w:r>
              <w:rPr>
                <w:rFonts w:ascii="Arial" w:eastAsia="Arial" w:hAnsi="Arial" w:cs="Arial"/>
                <w:sz w:val="24"/>
                <w:szCs w:val="24"/>
              </w:rPr>
              <w:t xml:space="preserve">NA </w:t>
            </w:r>
          </w:p>
        </w:tc>
        <w:tc>
          <w:tcPr>
            <w:tcW w:w="4290" w:type="dxa"/>
          </w:tcPr>
          <w:p w:rsidR="00D254BE" w:rsidRDefault="00606E42">
            <w:pPr>
              <w:spacing w:line="240" w:lineRule="auto"/>
              <w:ind w:left="124" w:right="118" w:firstLine="7"/>
              <w:jc w:val="both"/>
              <w:rPr>
                <w:rFonts w:ascii="Arial" w:eastAsia="Arial" w:hAnsi="Arial" w:cs="Arial"/>
                <w:sz w:val="24"/>
                <w:szCs w:val="24"/>
              </w:rPr>
            </w:pPr>
            <w:r>
              <w:rPr>
                <w:rFonts w:ascii="Arial" w:eastAsia="Arial" w:hAnsi="Arial" w:cs="Arial"/>
                <w:sz w:val="24"/>
                <w:szCs w:val="24"/>
              </w:rPr>
              <w:t>Se crea la categoría Periodismo Judicial</w:t>
            </w:r>
          </w:p>
        </w:tc>
      </w:tr>
      <w:tr w:rsidR="00D254BE">
        <w:tc>
          <w:tcPr>
            <w:tcW w:w="4410" w:type="dxa"/>
          </w:tcPr>
          <w:p w:rsidR="00D254BE" w:rsidRDefault="00606E42">
            <w:pPr>
              <w:spacing w:line="240" w:lineRule="auto"/>
              <w:ind w:left="135"/>
              <w:jc w:val="both"/>
              <w:rPr>
                <w:rFonts w:ascii="Arial" w:eastAsia="Arial" w:hAnsi="Arial" w:cs="Arial"/>
                <w:sz w:val="24"/>
                <w:szCs w:val="24"/>
              </w:rPr>
            </w:pPr>
            <w:r>
              <w:rPr>
                <w:rFonts w:ascii="Arial" w:eastAsia="Arial" w:hAnsi="Arial" w:cs="Arial"/>
                <w:sz w:val="24"/>
                <w:szCs w:val="24"/>
              </w:rPr>
              <w:t xml:space="preserve">NA </w:t>
            </w:r>
          </w:p>
        </w:tc>
        <w:tc>
          <w:tcPr>
            <w:tcW w:w="4290" w:type="dxa"/>
          </w:tcPr>
          <w:p w:rsidR="00D254BE" w:rsidRDefault="00606E42">
            <w:pPr>
              <w:spacing w:line="240" w:lineRule="auto"/>
              <w:ind w:left="141" w:right="118" w:hanging="10"/>
              <w:jc w:val="both"/>
              <w:rPr>
                <w:rFonts w:ascii="Arial" w:eastAsia="Arial" w:hAnsi="Arial" w:cs="Arial"/>
                <w:sz w:val="24"/>
                <w:szCs w:val="24"/>
              </w:rPr>
            </w:pPr>
            <w:r>
              <w:rPr>
                <w:rFonts w:ascii="Arial" w:eastAsia="Arial" w:hAnsi="Arial" w:cs="Arial"/>
                <w:sz w:val="24"/>
                <w:szCs w:val="24"/>
              </w:rPr>
              <w:t>Se crea la categoría Periodismo Investigativo.</w:t>
            </w:r>
          </w:p>
        </w:tc>
      </w:tr>
      <w:tr w:rsidR="00D254BE">
        <w:trPr>
          <w:trHeight w:val="1665"/>
        </w:trPr>
        <w:tc>
          <w:tcPr>
            <w:tcW w:w="4410" w:type="dxa"/>
          </w:tcPr>
          <w:p w:rsidR="00D254BE" w:rsidRDefault="00606E42">
            <w:pPr>
              <w:spacing w:line="240" w:lineRule="auto"/>
              <w:ind w:left="135"/>
              <w:jc w:val="both"/>
              <w:rPr>
                <w:rFonts w:ascii="Arial" w:eastAsia="Arial" w:hAnsi="Arial" w:cs="Arial"/>
                <w:sz w:val="24"/>
                <w:szCs w:val="24"/>
              </w:rPr>
            </w:pPr>
            <w:r>
              <w:rPr>
                <w:rFonts w:ascii="Arial" w:eastAsia="Arial" w:hAnsi="Arial" w:cs="Arial"/>
                <w:sz w:val="24"/>
                <w:szCs w:val="24"/>
              </w:rPr>
              <w:lastRenderedPageBreak/>
              <w:t xml:space="preserve">NA </w:t>
            </w:r>
          </w:p>
        </w:tc>
        <w:tc>
          <w:tcPr>
            <w:tcW w:w="4290" w:type="dxa"/>
          </w:tcPr>
          <w:p w:rsidR="00D254BE" w:rsidRDefault="00606E42">
            <w:pPr>
              <w:spacing w:line="240" w:lineRule="auto"/>
              <w:ind w:left="127" w:right="28" w:firstLine="4"/>
              <w:jc w:val="both"/>
              <w:rPr>
                <w:rFonts w:ascii="Arial" w:eastAsia="Arial" w:hAnsi="Arial" w:cs="Arial"/>
                <w:sz w:val="24"/>
                <w:szCs w:val="24"/>
              </w:rPr>
            </w:pPr>
            <w:r>
              <w:rPr>
                <w:rFonts w:ascii="Arial" w:eastAsia="Arial" w:hAnsi="Arial" w:cs="Arial"/>
                <w:sz w:val="24"/>
                <w:szCs w:val="24"/>
              </w:rPr>
              <w:t>Se crea la categoría Contenido  periodístico exclusivo para redes  sociales (YouTube, Facebook, Instagram, Tik Tok y X).</w:t>
            </w:r>
          </w:p>
        </w:tc>
      </w:tr>
      <w:tr w:rsidR="00D254BE">
        <w:trPr>
          <w:trHeight w:val="840"/>
        </w:trPr>
        <w:tc>
          <w:tcPr>
            <w:tcW w:w="4410" w:type="dxa"/>
          </w:tcPr>
          <w:p w:rsidR="00D254BE" w:rsidRDefault="00606E42">
            <w:pPr>
              <w:spacing w:line="240" w:lineRule="auto"/>
              <w:ind w:left="135"/>
              <w:jc w:val="both"/>
              <w:rPr>
                <w:rFonts w:ascii="Arial" w:eastAsia="Arial" w:hAnsi="Arial" w:cs="Arial"/>
                <w:sz w:val="24"/>
                <w:szCs w:val="24"/>
              </w:rPr>
            </w:pPr>
            <w:r>
              <w:rPr>
                <w:rFonts w:ascii="Arial" w:eastAsia="Arial" w:hAnsi="Arial" w:cs="Arial"/>
                <w:sz w:val="24"/>
                <w:szCs w:val="24"/>
              </w:rPr>
              <w:t xml:space="preserve">NA </w:t>
            </w:r>
          </w:p>
        </w:tc>
        <w:tc>
          <w:tcPr>
            <w:tcW w:w="4290" w:type="dxa"/>
          </w:tcPr>
          <w:p w:rsidR="00D254BE" w:rsidRDefault="00606E42">
            <w:pPr>
              <w:spacing w:line="240" w:lineRule="auto"/>
              <w:ind w:left="140" w:right="118" w:hanging="8"/>
              <w:jc w:val="both"/>
              <w:rPr>
                <w:rFonts w:ascii="Arial" w:eastAsia="Arial" w:hAnsi="Arial" w:cs="Arial"/>
                <w:sz w:val="24"/>
                <w:szCs w:val="24"/>
              </w:rPr>
            </w:pPr>
            <w:r>
              <w:rPr>
                <w:rFonts w:ascii="Arial" w:eastAsia="Arial" w:hAnsi="Arial" w:cs="Arial"/>
                <w:sz w:val="24"/>
                <w:szCs w:val="24"/>
              </w:rPr>
              <w:t>Se crea la categoría Vodcast (o Video Podcast).</w:t>
            </w:r>
          </w:p>
        </w:tc>
      </w:tr>
    </w:tbl>
    <w:p w:rsidR="00D254BE" w:rsidRDefault="00D254BE">
      <w:pPr>
        <w:spacing w:line="240" w:lineRule="auto"/>
        <w:jc w:val="both"/>
        <w:rPr>
          <w:rFonts w:ascii="Arial" w:eastAsia="Arial" w:hAnsi="Arial" w:cs="Arial"/>
          <w:b/>
          <w:sz w:val="24"/>
          <w:szCs w:val="24"/>
        </w:rPr>
      </w:pPr>
    </w:p>
    <w:p w:rsidR="00D254BE" w:rsidRDefault="00606E42">
      <w:pPr>
        <w:spacing w:line="240" w:lineRule="auto"/>
        <w:jc w:val="both"/>
        <w:rPr>
          <w:rFonts w:ascii="Arial" w:eastAsia="Arial" w:hAnsi="Arial" w:cs="Arial"/>
          <w:b/>
          <w:sz w:val="24"/>
          <w:szCs w:val="24"/>
        </w:rPr>
      </w:pPr>
      <w:r>
        <w:rPr>
          <w:rFonts w:ascii="Arial" w:eastAsia="Arial" w:hAnsi="Arial" w:cs="Arial"/>
          <w:b/>
          <w:sz w:val="24"/>
          <w:szCs w:val="24"/>
        </w:rPr>
        <w:t>IV. MARCO NORMATIVO</w:t>
      </w:r>
    </w:p>
    <w:p w:rsidR="00D254BE" w:rsidRDefault="00606E42">
      <w:pPr>
        <w:spacing w:line="240" w:lineRule="auto"/>
        <w:jc w:val="both"/>
        <w:rPr>
          <w:rFonts w:ascii="Arial" w:eastAsia="Arial" w:hAnsi="Arial" w:cs="Arial"/>
          <w:sz w:val="24"/>
          <w:szCs w:val="24"/>
        </w:rPr>
      </w:pPr>
      <w:r>
        <w:rPr>
          <w:rFonts w:ascii="Arial" w:eastAsia="Arial" w:hAnsi="Arial" w:cs="Arial"/>
          <w:sz w:val="24"/>
          <w:szCs w:val="24"/>
        </w:rPr>
        <w:t xml:space="preserve">Respecto al marco normativo, el autor del presente Proyecto resalta una base normativa, que será complementada y ajustada por los suscritos ponentes. </w:t>
      </w:r>
    </w:p>
    <w:p w:rsidR="00D254BE" w:rsidRDefault="00606E42">
      <w:pPr>
        <w:spacing w:before="240" w:after="240" w:line="240" w:lineRule="auto"/>
        <w:jc w:val="both"/>
        <w:rPr>
          <w:rFonts w:ascii="Arial" w:eastAsia="Arial" w:hAnsi="Arial" w:cs="Arial"/>
          <w:b/>
          <w:i/>
          <w:sz w:val="24"/>
          <w:szCs w:val="24"/>
        </w:rPr>
      </w:pPr>
      <w:r>
        <w:rPr>
          <w:rFonts w:ascii="Arial" w:eastAsia="Arial" w:hAnsi="Arial" w:cs="Arial"/>
          <w:b/>
          <w:i/>
          <w:sz w:val="24"/>
          <w:szCs w:val="24"/>
        </w:rPr>
        <w:t>DE ORDEN CONSTITUCIONAL.</w:t>
      </w:r>
    </w:p>
    <w:p w:rsidR="00D254BE" w:rsidRDefault="00606E42">
      <w:pPr>
        <w:widowControl w:val="0"/>
        <w:spacing w:before="311" w:after="0" w:line="240" w:lineRule="auto"/>
        <w:ind w:right="12"/>
        <w:jc w:val="both"/>
        <w:rPr>
          <w:rFonts w:ascii="Arial" w:eastAsia="Arial" w:hAnsi="Arial" w:cs="Arial"/>
          <w:i/>
          <w:sz w:val="24"/>
          <w:szCs w:val="24"/>
        </w:rPr>
      </w:pPr>
      <w:r>
        <w:rPr>
          <w:rFonts w:ascii="Arial" w:eastAsia="Arial" w:hAnsi="Arial" w:cs="Arial"/>
          <w:b/>
          <w:i/>
          <w:sz w:val="24"/>
          <w:szCs w:val="24"/>
        </w:rPr>
        <w:t xml:space="preserve">Artículo 20. </w:t>
      </w:r>
      <w:r>
        <w:rPr>
          <w:rFonts w:ascii="Arial" w:eastAsia="Arial" w:hAnsi="Arial" w:cs="Arial"/>
          <w:i/>
          <w:sz w:val="24"/>
          <w:szCs w:val="24"/>
        </w:rPr>
        <w:t xml:space="preserve">Se garantiza a toda persona la libertad de expresar y difundir </w:t>
      </w:r>
      <w:r w:rsidR="00213227">
        <w:rPr>
          <w:rFonts w:ascii="Arial" w:eastAsia="Arial" w:hAnsi="Arial" w:cs="Arial"/>
          <w:i/>
          <w:sz w:val="24"/>
          <w:szCs w:val="24"/>
        </w:rPr>
        <w:t>su pensamiento</w:t>
      </w:r>
      <w:r>
        <w:rPr>
          <w:rFonts w:ascii="Arial" w:eastAsia="Arial" w:hAnsi="Arial" w:cs="Arial"/>
          <w:i/>
          <w:sz w:val="24"/>
          <w:szCs w:val="24"/>
        </w:rPr>
        <w:t xml:space="preserve"> y opiniones, la de informar y recibir información veraz e imparcial, y </w:t>
      </w:r>
      <w:r w:rsidR="00213227">
        <w:rPr>
          <w:rFonts w:ascii="Arial" w:eastAsia="Arial" w:hAnsi="Arial" w:cs="Arial"/>
          <w:i/>
          <w:sz w:val="24"/>
          <w:szCs w:val="24"/>
        </w:rPr>
        <w:t>la de</w:t>
      </w:r>
      <w:r>
        <w:rPr>
          <w:rFonts w:ascii="Arial" w:eastAsia="Arial" w:hAnsi="Arial" w:cs="Arial"/>
          <w:i/>
          <w:sz w:val="24"/>
          <w:szCs w:val="24"/>
        </w:rPr>
        <w:t xml:space="preserve"> fundar medios masivos de comunicación. </w:t>
      </w:r>
    </w:p>
    <w:p w:rsidR="00D254BE" w:rsidRDefault="00606E42">
      <w:pPr>
        <w:widowControl w:val="0"/>
        <w:spacing w:before="308" w:after="0" w:line="240" w:lineRule="auto"/>
        <w:ind w:right="23"/>
        <w:jc w:val="both"/>
        <w:rPr>
          <w:rFonts w:ascii="Arial" w:eastAsia="Arial" w:hAnsi="Arial" w:cs="Arial"/>
          <w:i/>
          <w:sz w:val="24"/>
          <w:szCs w:val="24"/>
        </w:rPr>
      </w:pPr>
      <w:r>
        <w:rPr>
          <w:rFonts w:ascii="Arial" w:eastAsia="Arial" w:hAnsi="Arial" w:cs="Arial"/>
          <w:i/>
          <w:sz w:val="24"/>
          <w:szCs w:val="24"/>
        </w:rPr>
        <w:t xml:space="preserve">Estos son libres y tienen responsabilidad social. Se garantiza el derecho a </w:t>
      </w:r>
      <w:r w:rsidR="00213227">
        <w:rPr>
          <w:rFonts w:ascii="Arial" w:eastAsia="Arial" w:hAnsi="Arial" w:cs="Arial"/>
          <w:i/>
          <w:sz w:val="24"/>
          <w:szCs w:val="24"/>
        </w:rPr>
        <w:t>la rectificación</w:t>
      </w:r>
      <w:r>
        <w:rPr>
          <w:rFonts w:ascii="Arial" w:eastAsia="Arial" w:hAnsi="Arial" w:cs="Arial"/>
          <w:i/>
          <w:sz w:val="24"/>
          <w:szCs w:val="24"/>
        </w:rPr>
        <w:t xml:space="preserve"> en condiciones de equidad. No habrá censura. </w:t>
      </w:r>
    </w:p>
    <w:p w:rsidR="00D254BE" w:rsidRDefault="00606E42">
      <w:pPr>
        <w:widowControl w:val="0"/>
        <w:spacing w:before="305" w:after="0" w:line="240" w:lineRule="auto"/>
        <w:ind w:right="21"/>
        <w:jc w:val="both"/>
        <w:rPr>
          <w:rFonts w:ascii="Arial" w:eastAsia="Arial" w:hAnsi="Arial" w:cs="Arial"/>
          <w:i/>
          <w:sz w:val="24"/>
          <w:szCs w:val="24"/>
        </w:rPr>
      </w:pPr>
      <w:r>
        <w:rPr>
          <w:rFonts w:ascii="Arial" w:eastAsia="Arial" w:hAnsi="Arial" w:cs="Arial"/>
          <w:b/>
          <w:i/>
          <w:sz w:val="24"/>
          <w:szCs w:val="24"/>
        </w:rPr>
        <w:t xml:space="preserve">Artículo 73. </w:t>
      </w:r>
      <w:r>
        <w:rPr>
          <w:rFonts w:ascii="Arial" w:eastAsia="Arial" w:hAnsi="Arial" w:cs="Arial"/>
          <w:i/>
          <w:sz w:val="24"/>
          <w:szCs w:val="24"/>
        </w:rPr>
        <w:t xml:space="preserve">La actividad periodística gozará de protección para garantizar </w:t>
      </w:r>
      <w:r w:rsidR="00213227">
        <w:rPr>
          <w:rFonts w:ascii="Arial" w:eastAsia="Arial" w:hAnsi="Arial" w:cs="Arial"/>
          <w:i/>
          <w:sz w:val="24"/>
          <w:szCs w:val="24"/>
        </w:rPr>
        <w:t>su libertad</w:t>
      </w:r>
      <w:r>
        <w:rPr>
          <w:rFonts w:ascii="Arial" w:eastAsia="Arial" w:hAnsi="Arial" w:cs="Arial"/>
          <w:i/>
          <w:sz w:val="24"/>
          <w:szCs w:val="24"/>
        </w:rPr>
        <w:t xml:space="preserve"> e independencia profesional.</w:t>
      </w:r>
    </w:p>
    <w:p w:rsidR="00D254BE" w:rsidRDefault="00D254BE">
      <w:pPr>
        <w:widowControl w:val="0"/>
        <w:spacing w:after="0" w:line="240" w:lineRule="auto"/>
        <w:ind w:right="4"/>
        <w:jc w:val="both"/>
        <w:rPr>
          <w:rFonts w:ascii="Arial" w:eastAsia="Arial" w:hAnsi="Arial" w:cs="Arial"/>
          <w:b/>
          <w:i/>
          <w:sz w:val="24"/>
          <w:szCs w:val="24"/>
        </w:rPr>
      </w:pPr>
    </w:p>
    <w:p w:rsidR="00D254BE" w:rsidRDefault="00606E42">
      <w:pPr>
        <w:widowControl w:val="0"/>
        <w:spacing w:after="0" w:line="240" w:lineRule="auto"/>
        <w:ind w:right="4"/>
        <w:jc w:val="both"/>
        <w:rPr>
          <w:rFonts w:ascii="Arial" w:eastAsia="Arial" w:hAnsi="Arial" w:cs="Arial"/>
          <w:i/>
          <w:sz w:val="24"/>
          <w:szCs w:val="24"/>
        </w:rPr>
      </w:pPr>
      <w:r>
        <w:rPr>
          <w:rFonts w:ascii="Arial" w:eastAsia="Arial" w:hAnsi="Arial" w:cs="Arial"/>
          <w:b/>
          <w:i/>
          <w:sz w:val="24"/>
          <w:szCs w:val="24"/>
        </w:rPr>
        <w:t xml:space="preserve">Artículo 209. </w:t>
      </w:r>
      <w:r>
        <w:rPr>
          <w:rFonts w:ascii="Arial" w:eastAsia="Arial" w:hAnsi="Arial" w:cs="Arial"/>
          <w:i/>
          <w:sz w:val="24"/>
          <w:szCs w:val="24"/>
        </w:rPr>
        <w:t xml:space="preserve">La función administrativa está al servicio de los intereses generales </w:t>
      </w:r>
      <w:r w:rsidR="00213227">
        <w:rPr>
          <w:rFonts w:ascii="Arial" w:eastAsia="Arial" w:hAnsi="Arial" w:cs="Arial"/>
          <w:i/>
          <w:sz w:val="24"/>
          <w:szCs w:val="24"/>
        </w:rPr>
        <w:t>y se</w:t>
      </w:r>
      <w:r>
        <w:rPr>
          <w:rFonts w:ascii="Arial" w:eastAsia="Arial" w:hAnsi="Arial" w:cs="Arial"/>
          <w:i/>
          <w:sz w:val="24"/>
          <w:szCs w:val="24"/>
        </w:rPr>
        <w:t xml:space="preserve"> desarrolla con fundamento en los principios de igualdad, moralidad, </w:t>
      </w:r>
      <w:r w:rsidR="00213227">
        <w:rPr>
          <w:rFonts w:ascii="Arial" w:eastAsia="Arial" w:hAnsi="Arial" w:cs="Arial"/>
          <w:i/>
          <w:sz w:val="24"/>
          <w:szCs w:val="24"/>
        </w:rPr>
        <w:t>eficacia, economía</w:t>
      </w:r>
      <w:r>
        <w:rPr>
          <w:rFonts w:ascii="Arial" w:eastAsia="Arial" w:hAnsi="Arial" w:cs="Arial"/>
          <w:i/>
          <w:sz w:val="24"/>
          <w:szCs w:val="24"/>
        </w:rPr>
        <w:t xml:space="preserve">, celeridad, imparcialidad y publicidad mediante la descentralización, </w:t>
      </w:r>
      <w:r w:rsidR="00213227">
        <w:rPr>
          <w:rFonts w:ascii="Arial" w:eastAsia="Arial" w:hAnsi="Arial" w:cs="Arial"/>
          <w:i/>
          <w:sz w:val="24"/>
          <w:szCs w:val="24"/>
        </w:rPr>
        <w:t>la delegación</w:t>
      </w:r>
      <w:r>
        <w:rPr>
          <w:rFonts w:ascii="Arial" w:eastAsia="Arial" w:hAnsi="Arial" w:cs="Arial"/>
          <w:i/>
          <w:sz w:val="24"/>
          <w:szCs w:val="24"/>
        </w:rPr>
        <w:t xml:space="preserve"> y la desconcentración de funciones. Las autoridades </w:t>
      </w:r>
      <w:r w:rsidR="00213227">
        <w:rPr>
          <w:rFonts w:ascii="Arial" w:eastAsia="Arial" w:hAnsi="Arial" w:cs="Arial"/>
          <w:i/>
          <w:sz w:val="24"/>
          <w:szCs w:val="24"/>
        </w:rPr>
        <w:t>administrativas deben</w:t>
      </w:r>
      <w:r>
        <w:rPr>
          <w:rFonts w:ascii="Arial" w:eastAsia="Arial" w:hAnsi="Arial" w:cs="Arial"/>
          <w:i/>
          <w:sz w:val="24"/>
          <w:szCs w:val="24"/>
        </w:rPr>
        <w:t xml:space="preserve"> coordinar sus actuaciones para el adecuado cumplimiento de los fines </w:t>
      </w:r>
      <w:r w:rsidR="00213227">
        <w:rPr>
          <w:rFonts w:ascii="Arial" w:eastAsia="Arial" w:hAnsi="Arial" w:cs="Arial"/>
          <w:i/>
          <w:sz w:val="24"/>
          <w:szCs w:val="24"/>
        </w:rPr>
        <w:t>del Estado</w:t>
      </w:r>
      <w:r>
        <w:rPr>
          <w:rFonts w:ascii="Arial" w:eastAsia="Arial" w:hAnsi="Arial" w:cs="Arial"/>
          <w:i/>
          <w:sz w:val="24"/>
          <w:szCs w:val="24"/>
        </w:rPr>
        <w:t xml:space="preserve">. La administración pública, en todos sus órdenes, tendrá un control </w:t>
      </w:r>
      <w:r w:rsidR="00213227">
        <w:rPr>
          <w:rFonts w:ascii="Arial" w:eastAsia="Arial" w:hAnsi="Arial" w:cs="Arial"/>
          <w:i/>
          <w:sz w:val="24"/>
          <w:szCs w:val="24"/>
        </w:rPr>
        <w:t>interno que</w:t>
      </w:r>
      <w:r>
        <w:rPr>
          <w:rFonts w:ascii="Arial" w:eastAsia="Arial" w:hAnsi="Arial" w:cs="Arial"/>
          <w:i/>
          <w:sz w:val="24"/>
          <w:szCs w:val="24"/>
        </w:rPr>
        <w:t xml:space="preserve"> se ejercerá en los términos que señale la ley. </w:t>
      </w:r>
    </w:p>
    <w:p w:rsidR="00D254BE" w:rsidRDefault="00606E42">
      <w:pPr>
        <w:spacing w:before="240" w:after="240" w:line="240" w:lineRule="auto"/>
        <w:jc w:val="both"/>
        <w:rPr>
          <w:rFonts w:ascii="Arial" w:eastAsia="Arial" w:hAnsi="Arial" w:cs="Arial"/>
          <w:b/>
          <w:i/>
          <w:sz w:val="24"/>
          <w:szCs w:val="24"/>
        </w:rPr>
      </w:pPr>
      <w:r>
        <w:rPr>
          <w:rFonts w:ascii="Arial" w:eastAsia="Arial" w:hAnsi="Arial" w:cs="Arial"/>
          <w:b/>
          <w:i/>
          <w:sz w:val="24"/>
          <w:szCs w:val="24"/>
        </w:rPr>
        <w:t>DE ORDEN LEGAL</w:t>
      </w:r>
    </w:p>
    <w:p w:rsidR="00D254BE" w:rsidRDefault="00606E42">
      <w:pPr>
        <w:widowControl w:val="0"/>
        <w:spacing w:after="0" w:line="240" w:lineRule="auto"/>
        <w:jc w:val="both"/>
        <w:rPr>
          <w:rFonts w:ascii="Arial" w:eastAsia="Arial" w:hAnsi="Arial" w:cs="Arial"/>
          <w:b/>
          <w:i/>
          <w:sz w:val="24"/>
          <w:szCs w:val="24"/>
        </w:rPr>
      </w:pPr>
      <w:r>
        <w:rPr>
          <w:rFonts w:ascii="Arial" w:eastAsia="Arial" w:hAnsi="Arial" w:cs="Arial"/>
          <w:b/>
          <w:sz w:val="24"/>
          <w:szCs w:val="24"/>
        </w:rPr>
        <w:t xml:space="preserve">Ley 36 de 1973 </w:t>
      </w:r>
      <w:r>
        <w:rPr>
          <w:rFonts w:ascii="Arial" w:eastAsia="Arial" w:hAnsi="Arial" w:cs="Arial"/>
          <w:b/>
          <w:i/>
          <w:sz w:val="24"/>
          <w:szCs w:val="24"/>
        </w:rPr>
        <w:t>“por la cual se reconoce el periodismo como profesión y se reglamenta su ejercicio y se dictan otras disposiciones”</w:t>
      </w:r>
    </w:p>
    <w:p w:rsidR="00D254BE" w:rsidRDefault="00D254BE">
      <w:pPr>
        <w:widowControl w:val="0"/>
        <w:spacing w:after="0" w:line="240" w:lineRule="auto"/>
        <w:rPr>
          <w:rFonts w:ascii="Arial" w:eastAsia="Arial" w:hAnsi="Arial" w:cs="Arial"/>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lastRenderedPageBreak/>
        <w:t>Artículo 1º</w:t>
      </w:r>
      <w:r>
        <w:rPr>
          <w:rFonts w:ascii="Arial" w:eastAsia="Arial" w:hAnsi="Arial" w:cs="Arial"/>
          <w:sz w:val="24"/>
          <w:szCs w:val="24"/>
        </w:rPr>
        <w:t xml:space="preserve">. Reconócese como actividad profesional, regularizada y amparada por el Estado, el ejercicio del periodismo en cualquiera de sus formas. El régimen de la profesión de periodista tiene, entre otros, los siguientes objetivos: Garantizar la libertad de información, expresión y asociación sindical; defender el gremio y establecer sistemas que procuren al periodista seguridad y progreso en el desempeño de sus labores. </w:t>
      </w:r>
    </w:p>
    <w:p w:rsidR="00D254BE" w:rsidRDefault="00D254BE">
      <w:pPr>
        <w:widowControl w:val="0"/>
        <w:spacing w:after="0" w:line="240" w:lineRule="auto"/>
        <w:jc w:val="both"/>
        <w:rPr>
          <w:rFonts w:ascii="Arial" w:eastAsia="Arial" w:hAnsi="Arial" w:cs="Arial"/>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Artículo 2º.</w:t>
      </w:r>
      <w:r>
        <w:rPr>
          <w:rFonts w:ascii="Arial" w:eastAsia="Arial" w:hAnsi="Arial" w:cs="Arial"/>
          <w:sz w:val="24"/>
          <w:szCs w:val="24"/>
        </w:rPr>
        <w:t xml:space="preserve"> Son periodistas profesionales las personas que, previo el lleno de los requisitos que se fijen en la presente Ley, se dedican en forma permanente a labores intelectuales referentes a: Dirección, información noticiosa, conceptual o gráfica, en cualquier medio de comunicación social.</w:t>
      </w:r>
    </w:p>
    <w:p w:rsidR="00D254BE" w:rsidRDefault="00D254BE">
      <w:pPr>
        <w:widowControl w:val="0"/>
        <w:spacing w:after="0" w:line="240" w:lineRule="auto"/>
        <w:jc w:val="both"/>
        <w:rPr>
          <w:rFonts w:ascii="Arial" w:eastAsia="Arial" w:hAnsi="Arial" w:cs="Arial"/>
          <w:b/>
          <w:sz w:val="24"/>
          <w:szCs w:val="24"/>
        </w:rPr>
      </w:pPr>
    </w:p>
    <w:p w:rsidR="00D254BE" w:rsidRDefault="00606E42">
      <w:pPr>
        <w:widowControl w:val="0"/>
        <w:spacing w:after="0" w:line="240" w:lineRule="auto"/>
        <w:jc w:val="both"/>
        <w:rPr>
          <w:rFonts w:ascii="Arial" w:eastAsia="Arial" w:hAnsi="Arial" w:cs="Arial"/>
          <w:b/>
          <w:i/>
          <w:sz w:val="24"/>
          <w:szCs w:val="24"/>
        </w:rPr>
      </w:pPr>
      <w:r>
        <w:rPr>
          <w:rFonts w:ascii="Arial" w:eastAsia="Arial" w:hAnsi="Arial" w:cs="Arial"/>
          <w:b/>
          <w:sz w:val="24"/>
          <w:szCs w:val="24"/>
        </w:rPr>
        <w:t>Ley 1016 de 2006 “</w:t>
      </w:r>
      <w:r>
        <w:rPr>
          <w:rFonts w:ascii="Arial" w:eastAsia="Arial" w:hAnsi="Arial" w:cs="Arial"/>
          <w:b/>
          <w:i/>
          <w:sz w:val="24"/>
          <w:szCs w:val="24"/>
        </w:rPr>
        <w:t>Por la cual se adoptan normas legales, con meros propósitos declarativos, para la protección laboral y social de la actividad periodística y de comunicación a fin de garantizar su libertad e independencia profesional”</w:t>
      </w:r>
    </w:p>
    <w:p w:rsidR="00D254BE" w:rsidRDefault="00D254BE">
      <w:pPr>
        <w:widowControl w:val="0"/>
        <w:spacing w:after="0" w:line="240" w:lineRule="auto"/>
        <w:rPr>
          <w:rFonts w:ascii="Arial" w:eastAsia="Arial" w:hAnsi="Arial" w:cs="Arial"/>
          <w:i/>
          <w:sz w:val="24"/>
          <w:szCs w:val="24"/>
        </w:rPr>
      </w:pPr>
    </w:p>
    <w:p w:rsidR="00D254BE" w:rsidRDefault="00606E42">
      <w:pPr>
        <w:widowControl w:val="0"/>
        <w:spacing w:after="0" w:line="240" w:lineRule="auto"/>
        <w:rPr>
          <w:rFonts w:ascii="Arial" w:eastAsia="Arial" w:hAnsi="Arial" w:cs="Arial"/>
          <w:b/>
          <w:i/>
          <w:sz w:val="24"/>
          <w:szCs w:val="24"/>
        </w:rPr>
      </w:pPr>
      <w:r>
        <w:rPr>
          <w:rFonts w:ascii="Arial" w:eastAsia="Arial" w:hAnsi="Arial" w:cs="Arial"/>
          <w:b/>
          <w:i/>
          <w:sz w:val="24"/>
          <w:szCs w:val="24"/>
        </w:rPr>
        <w:t xml:space="preserve">Ley 1978 de </w:t>
      </w:r>
      <w:r w:rsidR="00213227">
        <w:rPr>
          <w:rFonts w:ascii="Arial" w:eastAsia="Arial" w:hAnsi="Arial" w:cs="Arial"/>
          <w:b/>
          <w:i/>
          <w:sz w:val="24"/>
          <w:szCs w:val="24"/>
        </w:rPr>
        <w:t xml:space="preserve">2019 </w:t>
      </w:r>
      <w:r w:rsidR="00213227">
        <w:rPr>
          <w:rFonts w:ascii="Arial" w:eastAsia="Arial" w:hAnsi="Arial" w:cs="Arial"/>
          <w:i/>
          <w:sz w:val="24"/>
          <w:szCs w:val="24"/>
        </w:rPr>
        <w:t>“</w:t>
      </w:r>
      <w:r>
        <w:rPr>
          <w:rFonts w:ascii="Arial" w:eastAsia="Arial" w:hAnsi="Arial" w:cs="Arial"/>
          <w:b/>
          <w:i/>
          <w:sz w:val="24"/>
          <w:szCs w:val="24"/>
        </w:rPr>
        <w:t>Por la cual se moderniza el Sector de las Tecnologías de la Información y las Comunicaciones -TIC, se distribuyen competencias, se crea un Regulador Único y se dictan otras disposiciones”</w:t>
      </w:r>
    </w:p>
    <w:p w:rsidR="00D254BE" w:rsidRDefault="00D254BE">
      <w:pPr>
        <w:widowControl w:val="0"/>
        <w:spacing w:after="0" w:line="240" w:lineRule="auto"/>
        <w:rPr>
          <w:rFonts w:ascii="Arial" w:eastAsia="Arial" w:hAnsi="Arial" w:cs="Arial"/>
          <w:i/>
          <w:sz w:val="24"/>
          <w:szCs w:val="24"/>
        </w:rPr>
      </w:pPr>
    </w:p>
    <w:p w:rsidR="00D254BE" w:rsidRDefault="00606E42">
      <w:pPr>
        <w:widowControl w:val="0"/>
        <w:spacing w:after="0" w:line="240" w:lineRule="auto"/>
        <w:rPr>
          <w:rFonts w:ascii="Arial" w:eastAsia="Arial" w:hAnsi="Arial" w:cs="Arial"/>
          <w:sz w:val="24"/>
          <w:szCs w:val="24"/>
        </w:rPr>
      </w:pPr>
      <w:r>
        <w:rPr>
          <w:rFonts w:ascii="Arial" w:eastAsia="Arial" w:hAnsi="Arial" w:cs="Arial"/>
          <w:b/>
          <w:sz w:val="24"/>
          <w:szCs w:val="24"/>
        </w:rPr>
        <w:t>Artículo 3</w:t>
      </w:r>
      <w:r>
        <w:rPr>
          <w:rFonts w:ascii="Arial" w:eastAsia="Arial" w:hAnsi="Arial" w:cs="Arial"/>
          <w:sz w:val="24"/>
          <w:szCs w:val="24"/>
        </w:rPr>
        <w:t>. Modifíquese los numerales 1, 5 y 7 y agréguense los numerales 9 y 10, al artículo 2 de la Ley 1341 de 2009, que quedarán así:</w:t>
      </w:r>
    </w:p>
    <w:p w:rsidR="00D254BE" w:rsidRDefault="00D254BE">
      <w:pPr>
        <w:widowControl w:val="0"/>
        <w:spacing w:after="0" w:line="240" w:lineRule="auto"/>
        <w:rPr>
          <w:rFonts w:ascii="Arial" w:eastAsia="Arial" w:hAnsi="Arial" w:cs="Arial"/>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1. Prioridad al acceso y uso de las Tecnologías de la Información y las Comunicaciones</w:t>
      </w:r>
      <w:r>
        <w:rPr>
          <w:rFonts w:ascii="Arial" w:eastAsia="Arial" w:hAnsi="Arial" w:cs="Arial"/>
          <w:sz w:val="24"/>
          <w:szCs w:val="24"/>
        </w:rPr>
        <w:t>. El estado y en general todos los agentes del sector de las Tecnologías de la Información y las Comunicaciones deberán colaborar, dentro del marco de sus obligaciones, para priorizar el acceso y uso a las Tecnologías de la Información y las Comunicaciones en la producción de bienes y servicios, en condiciones no discriminatorias en la conectividad. la educación, los contenidos y la competitividad. En el cumplimiento de este principio el Estado promoverá prioritariamente el acceso a las Tecnologías de la Información y las Comunicaciones para la población pobre y vulnerable, en zonas rurales y apartadas del país.</w:t>
      </w: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sz w:val="24"/>
          <w:szCs w:val="24"/>
        </w:rPr>
        <w:t>(...)</w:t>
      </w: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7. El derecho a la comunicación, la información y la educación y los servicios básicos de las TIC.</w:t>
      </w:r>
      <w:r>
        <w:rPr>
          <w:rFonts w:ascii="Arial" w:eastAsia="Arial" w:hAnsi="Arial" w:cs="Arial"/>
          <w:sz w:val="24"/>
          <w:szCs w:val="24"/>
        </w:rPr>
        <w:t xml:space="preserve"> En desarrollo de los artículos 16, 20 y 67 de la Constitución Política el Estado propiciará a todo colombiano el derecho al acceso a las tecnologías de la información y las comunicaciones básicas, que permitan el ejercicio pleno de los siguientes derechos: La libertad de expresión y de difundir su pensamiento y opiniones, el libre desarrollo de la personalidad, la de informar y recibir información veraz e imparcial, la educación y el acceso al conocimiento, a la ciencia, a la técnica, y a los demás bienes y valores de la cultura. Adicionalmente, </w:t>
      </w:r>
      <w:r>
        <w:rPr>
          <w:rFonts w:ascii="Arial" w:eastAsia="Arial" w:hAnsi="Arial" w:cs="Arial"/>
          <w:sz w:val="24"/>
          <w:szCs w:val="24"/>
        </w:rPr>
        <w:lastRenderedPageBreak/>
        <w:t xml:space="preserve">el Estado establecerá programas para que la población pobre y vulnerable incluyendo a la población de 45 años en adelante, que no tengan ingresos fijos, así como la población rural, tengan acceso y uso a las plataformas de comunicación, en especial de Internet, así como la promoción de servicios TIC comunitarios, que permitan la contribución desde la ciudadanía y las comunidades al cierre de la brecha digital, la remoción de barreras a los usos innovadores y la promoción de contenidos de interés público y de educación integral. La promoción del acceso a las tecnologías de la información y las comunicaciones básicas se hará con pleno respeto del libre desarrollo de las comunidades indígenas, afrocolombianas, palenqueras, raizales y </w:t>
      </w:r>
      <w:r w:rsidR="00213227">
        <w:rPr>
          <w:rFonts w:ascii="Arial" w:eastAsia="Arial" w:hAnsi="Arial" w:cs="Arial"/>
          <w:sz w:val="24"/>
          <w:szCs w:val="24"/>
        </w:rPr>
        <w:t>ROM</w:t>
      </w:r>
      <w:r>
        <w:rPr>
          <w:rFonts w:ascii="Arial" w:eastAsia="Arial" w:hAnsi="Arial" w:cs="Arial"/>
          <w:sz w:val="24"/>
          <w:szCs w:val="24"/>
        </w:rPr>
        <w:t>.</w:t>
      </w:r>
    </w:p>
    <w:p w:rsidR="00D254BE" w:rsidRDefault="00D254BE">
      <w:pPr>
        <w:widowControl w:val="0"/>
        <w:spacing w:after="0" w:line="240" w:lineRule="auto"/>
        <w:jc w:val="both"/>
        <w:rPr>
          <w:rFonts w:ascii="Arial" w:eastAsia="Arial" w:hAnsi="Arial" w:cs="Arial"/>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Artículo 5</w:t>
      </w:r>
      <w:r>
        <w:rPr>
          <w:rFonts w:ascii="Arial" w:eastAsia="Arial" w:hAnsi="Arial" w:cs="Arial"/>
          <w:sz w:val="24"/>
          <w:szCs w:val="24"/>
        </w:rPr>
        <w:t>. Modifíquese el artículo 6 de la Ley 1341 de 2009, el cual quedará así:</w:t>
      </w:r>
    </w:p>
    <w:p w:rsidR="00D254BE" w:rsidRDefault="00D254BE">
      <w:pPr>
        <w:widowControl w:val="0"/>
        <w:spacing w:after="0" w:line="240" w:lineRule="auto"/>
        <w:jc w:val="both"/>
        <w:rPr>
          <w:rFonts w:ascii="Arial" w:eastAsia="Arial" w:hAnsi="Arial" w:cs="Arial"/>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ARTÍCULO 6.</w:t>
      </w:r>
      <w:r>
        <w:rPr>
          <w:rFonts w:ascii="Arial" w:eastAsia="Arial" w:hAnsi="Arial" w:cs="Arial"/>
          <w:sz w:val="24"/>
          <w:szCs w:val="24"/>
        </w:rPr>
        <w:t xml:space="preserve"> Definición de TIC. Las Tecnologías de la Información y las Comunicaciones (en adelante TIC) son el conjunto de recursos, herramientas, equipos, programas informáticos, aplicaciones, redes y medios que permiten la compilación, procesamiento, almacenamiento, transmisión de información como voz, datos, texto, video e imágenes.</w:t>
      </w: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sz w:val="24"/>
          <w:szCs w:val="24"/>
        </w:rPr>
        <w:t>(...)</w:t>
      </w:r>
    </w:p>
    <w:p w:rsidR="00D254BE" w:rsidRDefault="00D254BE">
      <w:pPr>
        <w:widowControl w:val="0"/>
        <w:spacing w:after="0" w:line="240" w:lineRule="auto"/>
        <w:jc w:val="both"/>
        <w:rPr>
          <w:rFonts w:ascii="Arial" w:eastAsia="Arial" w:hAnsi="Arial" w:cs="Arial"/>
          <w:sz w:val="24"/>
          <w:szCs w:val="24"/>
        </w:rPr>
      </w:pPr>
    </w:p>
    <w:p w:rsidR="00D254BE" w:rsidRDefault="00606E42">
      <w:pPr>
        <w:widowControl w:val="0"/>
        <w:pBdr>
          <w:top w:val="nil"/>
          <w:left w:val="nil"/>
          <w:bottom w:val="nil"/>
          <w:right w:val="nil"/>
          <w:between w:val="nil"/>
        </w:pBdr>
        <w:spacing w:after="0" w:line="240" w:lineRule="auto"/>
        <w:jc w:val="both"/>
        <w:rPr>
          <w:rFonts w:ascii="Arial" w:eastAsia="Arial" w:hAnsi="Arial" w:cs="Arial"/>
          <w:b/>
          <w:sz w:val="24"/>
          <w:szCs w:val="24"/>
        </w:rPr>
      </w:pPr>
      <w:r>
        <w:rPr>
          <w:rFonts w:ascii="Arial" w:eastAsia="Arial" w:hAnsi="Arial" w:cs="Arial"/>
          <w:b/>
          <w:sz w:val="24"/>
          <w:szCs w:val="24"/>
        </w:rPr>
        <w:t>CONPES 4069 de política nacional de ciencia tecnología e innovación:</w:t>
      </w:r>
    </w:p>
    <w:p w:rsidR="00D254BE" w:rsidRDefault="00D254BE">
      <w:pPr>
        <w:widowControl w:val="0"/>
        <w:pBdr>
          <w:top w:val="nil"/>
          <w:left w:val="nil"/>
          <w:bottom w:val="nil"/>
          <w:right w:val="nil"/>
          <w:between w:val="nil"/>
        </w:pBdr>
        <w:spacing w:after="0" w:line="240" w:lineRule="auto"/>
        <w:jc w:val="both"/>
        <w:rPr>
          <w:rFonts w:ascii="Arial" w:eastAsia="Arial" w:hAnsi="Arial" w:cs="Arial"/>
          <w:sz w:val="24"/>
          <w:szCs w:val="24"/>
        </w:rPr>
      </w:pPr>
    </w:p>
    <w:p w:rsidR="00D254BE" w:rsidRDefault="00606E42">
      <w:pPr>
        <w:widowControl w:val="0"/>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Que contiene la nueva Política Nacional de Ciencia, Tecnología e </w:t>
      </w:r>
      <w:r w:rsidR="00213227">
        <w:rPr>
          <w:rFonts w:ascii="Arial" w:eastAsia="Arial" w:hAnsi="Arial" w:cs="Arial"/>
          <w:sz w:val="24"/>
          <w:szCs w:val="24"/>
        </w:rPr>
        <w:t>Innovación que</w:t>
      </w:r>
      <w:r>
        <w:rPr>
          <w:rFonts w:ascii="Arial" w:eastAsia="Arial" w:hAnsi="Arial" w:cs="Arial"/>
          <w:sz w:val="24"/>
          <w:szCs w:val="24"/>
        </w:rPr>
        <w:t xml:space="preserve"> nos indica la hoja de ruta en materia de CTI para la próxima década.  La nueva política busca incrementar la contribución de la CTI al desarrollo social, económico, ambiental, y sostenible, del país, con un enfoque diferencial, territorial, y participativo, para aportar a los cambios culturales que promuevan la consolidación de una sociedad del conocimiento.</w:t>
      </w:r>
    </w:p>
    <w:p w:rsidR="00D254BE" w:rsidRDefault="00D254BE">
      <w:pPr>
        <w:widowControl w:val="0"/>
        <w:pBdr>
          <w:top w:val="nil"/>
          <w:left w:val="nil"/>
          <w:bottom w:val="nil"/>
          <w:right w:val="nil"/>
          <w:between w:val="nil"/>
        </w:pBdr>
        <w:spacing w:after="0" w:line="240" w:lineRule="auto"/>
        <w:jc w:val="both"/>
        <w:rPr>
          <w:rFonts w:ascii="Arial" w:eastAsia="Arial" w:hAnsi="Arial" w:cs="Arial"/>
          <w:sz w:val="24"/>
          <w:szCs w:val="24"/>
        </w:rPr>
      </w:pPr>
    </w:p>
    <w:p w:rsidR="00D254BE" w:rsidRDefault="00606E42">
      <w:pPr>
        <w:widowControl w:val="0"/>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El proyecto de acuerdo que busca modificar y actualizar el Acuerdo 23 de 1998, que otorga la Orden Civil al Mérito Periodístico Álvaro Gómez Hurtado, se relaciona </w:t>
      </w:r>
      <w:r>
        <w:rPr>
          <w:rFonts w:ascii="Arial" w:eastAsia="Arial" w:hAnsi="Arial" w:cs="Arial"/>
          <w:b/>
          <w:sz w:val="24"/>
          <w:szCs w:val="24"/>
        </w:rPr>
        <w:t>con la Línea de Acción 11:</w:t>
      </w:r>
      <w:r>
        <w:rPr>
          <w:rFonts w:ascii="Arial" w:eastAsia="Arial" w:hAnsi="Arial" w:cs="Arial"/>
          <w:sz w:val="24"/>
          <w:szCs w:val="24"/>
        </w:rPr>
        <w:t xml:space="preserve"> "Mejorar la comunicación pública del quehacer científico y de la CTI" en el marco del fortalecimiento del reconocimiento y la promoción de la labor periodística como parte esencial en la difusión del conocimiento. Esta línea contempla el diseño y desarrollo de reconocimientos a entidades o actores que fomentan la cultura, la ética y la calidad en la comunicación, aspectos que también son fundamentales en el periodismo, especialmente en la era digital y de innovación en los medios.</w:t>
      </w:r>
    </w:p>
    <w:p w:rsidR="00D254BE" w:rsidRDefault="00D254BE">
      <w:pPr>
        <w:widowControl w:val="0"/>
        <w:pBdr>
          <w:top w:val="nil"/>
          <w:left w:val="nil"/>
          <w:bottom w:val="nil"/>
          <w:right w:val="nil"/>
          <w:between w:val="nil"/>
        </w:pBdr>
        <w:spacing w:after="0" w:line="240" w:lineRule="auto"/>
        <w:jc w:val="both"/>
        <w:rPr>
          <w:rFonts w:ascii="Arial" w:eastAsia="Arial" w:hAnsi="Arial" w:cs="Arial"/>
          <w:sz w:val="24"/>
          <w:szCs w:val="24"/>
        </w:rPr>
      </w:pPr>
    </w:p>
    <w:p w:rsidR="00D254BE" w:rsidRDefault="00606E42">
      <w:pPr>
        <w:widowControl w:val="0"/>
        <w:pBdr>
          <w:top w:val="nil"/>
          <w:left w:val="nil"/>
          <w:bottom w:val="nil"/>
          <w:right w:val="nil"/>
          <w:between w:val="nil"/>
        </w:pBdr>
        <w:spacing w:after="0" w:line="240" w:lineRule="auto"/>
        <w:jc w:val="both"/>
        <w:rPr>
          <w:rFonts w:ascii="Arial" w:eastAsia="Arial" w:hAnsi="Arial" w:cs="Arial"/>
          <w:sz w:val="24"/>
          <w:szCs w:val="24"/>
        </w:rPr>
      </w:pPr>
      <w:r>
        <w:rPr>
          <w:rFonts w:ascii="Arial" w:eastAsia="Arial" w:hAnsi="Arial" w:cs="Arial"/>
          <w:sz w:val="24"/>
          <w:szCs w:val="24"/>
        </w:rPr>
        <w:t xml:space="preserve">Desde el punto de vista jurídico, la relación del proyecto con esta línea de acción encuentra respaldo en que la modificación del acuerdo contribuye a promover un reconocimiento formal y actualizado del trabajo de los periodistas, fortaleciendo la </w:t>
      </w:r>
      <w:r>
        <w:rPr>
          <w:rFonts w:ascii="Arial" w:eastAsia="Arial" w:hAnsi="Arial" w:cs="Arial"/>
          <w:sz w:val="24"/>
          <w:szCs w:val="24"/>
        </w:rPr>
        <w:lastRenderedPageBreak/>
        <w:t>imagen institucional y la valoración del quehacer periodístico en todos sus formatos, incluidos los emergentes. La actualización del Comité de Jurados y las categorías de premiación permite que los criterios de evaluación estén alineados con las prácticas éticas, innovadoras y sociales actuales, promoviendo así una mayor legitimidad y visibilidad del periodismo responsable, que sustenta la comunicación pública y la diseminación del conocimiento en el territorio, en concordancia con los objetivos de la mencionada línea de acción.</w:t>
      </w:r>
    </w:p>
    <w:p w:rsidR="00D254BE" w:rsidRDefault="00D254BE">
      <w:pPr>
        <w:widowControl w:val="0"/>
        <w:spacing w:after="0" w:line="240" w:lineRule="auto"/>
        <w:jc w:val="both"/>
        <w:rPr>
          <w:rFonts w:ascii="Arial" w:eastAsia="Arial" w:hAnsi="Arial" w:cs="Arial"/>
          <w:sz w:val="24"/>
          <w:szCs w:val="24"/>
        </w:rPr>
      </w:pPr>
    </w:p>
    <w:p w:rsidR="00D254BE" w:rsidRDefault="00D254BE">
      <w:pPr>
        <w:widowControl w:val="0"/>
        <w:spacing w:after="0" w:line="240" w:lineRule="auto"/>
        <w:jc w:val="both"/>
        <w:rPr>
          <w:rFonts w:ascii="Arial" w:eastAsia="Arial" w:hAnsi="Arial" w:cs="Arial"/>
          <w:b/>
          <w:sz w:val="24"/>
          <w:szCs w:val="24"/>
        </w:rPr>
      </w:pPr>
    </w:p>
    <w:p w:rsidR="00D254BE" w:rsidRDefault="00606E42">
      <w:pPr>
        <w:widowControl w:val="0"/>
        <w:spacing w:after="0" w:line="240" w:lineRule="auto"/>
        <w:jc w:val="both"/>
        <w:rPr>
          <w:rFonts w:ascii="Arial" w:eastAsia="Arial" w:hAnsi="Arial" w:cs="Arial"/>
          <w:b/>
          <w:sz w:val="24"/>
          <w:szCs w:val="24"/>
        </w:rPr>
      </w:pPr>
      <w:r>
        <w:rPr>
          <w:rFonts w:ascii="Arial" w:eastAsia="Arial" w:hAnsi="Arial" w:cs="Arial"/>
          <w:b/>
          <w:sz w:val="24"/>
          <w:szCs w:val="24"/>
        </w:rPr>
        <w:t>DE ORDEN JURISPRUDENCIAL</w:t>
      </w:r>
    </w:p>
    <w:p w:rsidR="00D254BE" w:rsidRDefault="00D254BE">
      <w:pPr>
        <w:widowControl w:val="0"/>
        <w:spacing w:after="0" w:line="240" w:lineRule="auto"/>
        <w:jc w:val="both"/>
        <w:rPr>
          <w:rFonts w:ascii="Arial" w:eastAsia="Arial" w:hAnsi="Arial" w:cs="Arial"/>
          <w:b/>
          <w:sz w:val="24"/>
          <w:szCs w:val="24"/>
        </w:rPr>
      </w:pPr>
    </w:p>
    <w:p w:rsidR="00D254BE" w:rsidRDefault="00606E42">
      <w:pPr>
        <w:widowControl w:val="0"/>
        <w:spacing w:after="0" w:line="240" w:lineRule="auto"/>
        <w:jc w:val="both"/>
        <w:rPr>
          <w:rFonts w:ascii="Arial" w:eastAsia="Arial" w:hAnsi="Arial" w:cs="Arial"/>
          <w:b/>
          <w:sz w:val="24"/>
          <w:szCs w:val="24"/>
        </w:rPr>
      </w:pPr>
      <w:r>
        <w:rPr>
          <w:rFonts w:ascii="Arial" w:eastAsia="Arial" w:hAnsi="Arial" w:cs="Arial"/>
          <w:b/>
          <w:sz w:val="24"/>
          <w:szCs w:val="24"/>
        </w:rPr>
        <w:t>Sentencia T-087 de 2023 Corte Constitucional de Colombia</w:t>
      </w:r>
    </w:p>
    <w:p w:rsidR="00D254BE" w:rsidRDefault="00D254BE">
      <w:pPr>
        <w:widowControl w:val="0"/>
        <w:spacing w:after="0" w:line="240" w:lineRule="auto"/>
        <w:jc w:val="both"/>
        <w:rPr>
          <w:rFonts w:ascii="Arial" w:eastAsia="Arial" w:hAnsi="Arial" w:cs="Arial"/>
          <w:b/>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b/>
          <w:sz w:val="24"/>
          <w:szCs w:val="24"/>
        </w:rPr>
        <w:t>“</w:t>
      </w:r>
      <w:r>
        <w:rPr>
          <w:rFonts w:ascii="Arial" w:eastAsia="Arial" w:hAnsi="Arial" w:cs="Arial"/>
          <w:sz w:val="24"/>
          <w:szCs w:val="24"/>
        </w:rPr>
        <w:t>(...)</w:t>
      </w:r>
    </w:p>
    <w:p w:rsidR="00D254BE" w:rsidRDefault="00606E42">
      <w:pPr>
        <w:widowControl w:val="0"/>
        <w:spacing w:after="0" w:line="240" w:lineRule="auto"/>
        <w:jc w:val="both"/>
        <w:rPr>
          <w:rFonts w:ascii="Arial" w:eastAsia="Arial" w:hAnsi="Arial" w:cs="Arial"/>
          <w:b/>
          <w:sz w:val="24"/>
          <w:szCs w:val="24"/>
        </w:rPr>
      </w:pPr>
      <w:r>
        <w:rPr>
          <w:rFonts w:ascii="Arial" w:eastAsia="Arial" w:hAnsi="Arial" w:cs="Arial"/>
          <w:sz w:val="24"/>
          <w:szCs w:val="24"/>
        </w:rPr>
        <w:t>8. Esta corporación ha sostenido que la libertad de expresión es un derecho humano por lo que implica, entre otras cosas, que es universal, que guarda una estrecha realización(sic) con otros derechos y libertades, y que es necesaria para asegurar la dignidad de la persona humana También lo ha definido como un derecho fundamental polifacético, que incluye la libertad de expresar ideas y opiniones (libertad de opinión), la libertad de difundir y recibir información, la libertad de prensa, la rectificación en condiciones de equidad y la prohibición de censura[86]. Además, para la Corte esta garantía “juega un papel esencial en el desarrollo de la autonomía y libertad de las personas (CP art. 16) y en el desarrollo del conocimiento y la cultura (CP art. 71) [y] constituye un elemento estructural básico para la existencia de una verdadera democracia participativa (CP arts 1º, 3º y 40)”[87].</w:t>
      </w:r>
      <w:r>
        <w:rPr>
          <w:rFonts w:ascii="Arial" w:eastAsia="Arial" w:hAnsi="Arial" w:cs="Arial"/>
          <w:b/>
          <w:sz w:val="24"/>
          <w:szCs w:val="24"/>
        </w:rPr>
        <w:t xml:space="preserve"> </w:t>
      </w:r>
    </w:p>
    <w:p w:rsidR="00D254BE" w:rsidRDefault="00D254BE">
      <w:pPr>
        <w:widowControl w:val="0"/>
        <w:spacing w:after="0" w:line="240" w:lineRule="auto"/>
        <w:jc w:val="both"/>
        <w:rPr>
          <w:rFonts w:ascii="Arial" w:eastAsia="Arial" w:hAnsi="Arial" w:cs="Arial"/>
          <w:b/>
          <w:sz w:val="24"/>
          <w:szCs w:val="24"/>
        </w:rPr>
      </w:pPr>
    </w:p>
    <w:p w:rsidR="00D254BE" w:rsidRDefault="00606E42">
      <w:pPr>
        <w:widowControl w:val="0"/>
        <w:spacing w:after="0" w:line="240" w:lineRule="auto"/>
        <w:jc w:val="both"/>
        <w:rPr>
          <w:rFonts w:ascii="Arial" w:eastAsia="Arial" w:hAnsi="Arial" w:cs="Arial"/>
          <w:sz w:val="24"/>
          <w:szCs w:val="24"/>
        </w:rPr>
      </w:pPr>
      <w:r>
        <w:rPr>
          <w:rFonts w:ascii="Arial" w:eastAsia="Arial" w:hAnsi="Arial" w:cs="Arial"/>
          <w:sz w:val="24"/>
          <w:szCs w:val="24"/>
        </w:rPr>
        <w:t>69. La jurisprudencia constitucional ha reconocido que la evolución constante en las comunicaciones y la necesidad de estar conectados en orden a mantener un contacto cada vez más global, han provocado que en la actualidad Internet sea el medio de comunicación que más ha revolucionado la sociedad, el cual permite la conexión a través de chat, voz o vídeo[88]. El ejercicio del derecho a la libertad de expresión en Internet depende, en gran medida, de un amplio grupo de actores privados denominados intermediarios, sin los cuales no sería posible la circulación de contenidos. Entre los más relevantes se encuentran plataformas como Facebook, Twitter o Instagram[89].</w:t>
      </w:r>
    </w:p>
    <w:p w:rsidR="00D254BE" w:rsidRDefault="00D254BE">
      <w:pPr>
        <w:widowControl w:val="0"/>
        <w:spacing w:after="0" w:line="240" w:lineRule="auto"/>
        <w:jc w:val="both"/>
        <w:rPr>
          <w:rFonts w:ascii="Arial" w:eastAsia="Arial" w:hAnsi="Arial" w:cs="Arial"/>
          <w:sz w:val="24"/>
          <w:szCs w:val="24"/>
        </w:rPr>
      </w:pPr>
    </w:p>
    <w:p w:rsidR="00D254BE" w:rsidRDefault="00D254BE">
      <w:pPr>
        <w:widowControl w:val="0"/>
        <w:spacing w:after="0" w:line="240" w:lineRule="auto"/>
        <w:jc w:val="both"/>
        <w:rPr>
          <w:rFonts w:ascii="Arial" w:eastAsia="Arial" w:hAnsi="Arial" w:cs="Arial"/>
          <w:sz w:val="24"/>
          <w:szCs w:val="24"/>
        </w:rPr>
      </w:pPr>
    </w:p>
    <w:p w:rsidR="00D254BE" w:rsidRDefault="00606E42">
      <w:pPr>
        <w:jc w:val="both"/>
        <w:rPr>
          <w:rFonts w:ascii="Arial" w:eastAsia="Arial" w:hAnsi="Arial" w:cs="Arial"/>
          <w:b/>
          <w:sz w:val="24"/>
          <w:szCs w:val="24"/>
        </w:rPr>
      </w:pPr>
      <w:r>
        <w:rPr>
          <w:rFonts w:ascii="Arial" w:eastAsia="Arial" w:hAnsi="Arial" w:cs="Arial"/>
          <w:b/>
          <w:sz w:val="24"/>
          <w:szCs w:val="24"/>
        </w:rPr>
        <w:t>V. COMPETENCIA DEL CONCEJO DE BOGOTÁ D.C.</w:t>
      </w:r>
    </w:p>
    <w:p w:rsidR="00D254BE" w:rsidRDefault="00606E42">
      <w:pPr>
        <w:jc w:val="both"/>
        <w:rPr>
          <w:rFonts w:ascii="Arial" w:eastAsia="Arial" w:hAnsi="Arial" w:cs="Arial"/>
          <w:sz w:val="24"/>
          <w:szCs w:val="24"/>
        </w:rPr>
      </w:pPr>
      <w:r>
        <w:rPr>
          <w:rFonts w:ascii="Arial" w:eastAsia="Arial" w:hAnsi="Arial" w:cs="Arial"/>
          <w:sz w:val="24"/>
          <w:szCs w:val="24"/>
        </w:rPr>
        <w:t>Por otro lado, acorde a la competencia del Concejo de Bogotá, el autor expresa que este tiene la responsabilidad constitucional y legal de velar por el buen funcionamiento del Distrito Capital, conforme a las siguientes disposiciones:</w:t>
      </w:r>
    </w:p>
    <w:p w:rsidR="00D254BE" w:rsidRDefault="00606E42">
      <w:pPr>
        <w:shd w:val="clear" w:color="auto" w:fill="FFFFFF"/>
        <w:spacing w:before="240" w:after="240"/>
        <w:jc w:val="both"/>
        <w:rPr>
          <w:rFonts w:ascii="Arial" w:eastAsia="Arial" w:hAnsi="Arial" w:cs="Arial"/>
          <w:i/>
          <w:sz w:val="24"/>
          <w:szCs w:val="24"/>
        </w:rPr>
      </w:pPr>
      <w:r>
        <w:rPr>
          <w:rFonts w:ascii="Arial" w:eastAsia="Arial" w:hAnsi="Arial" w:cs="Arial"/>
          <w:i/>
          <w:sz w:val="24"/>
          <w:szCs w:val="24"/>
        </w:rPr>
        <w:lastRenderedPageBreak/>
        <w:t>“ARTÍCULO  12. Atribuciones. Corresponde al Concejo Distrital, de conformidad con la Constitución y a la ley:</w:t>
      </w:r>
    </w:p>
    <w:p w:rsidR="00D254BE" w:rsidRDefault="00606E42">
      <w:pPr>
        <w:shd w:val="clear" w:color="auto" w:fill="FFFFFF"/>
        <w:spacing w:before="240" w:after="240"/>
        <w:jc w:val="both"/>
        <w:rPr>
          <w:rFonts w:ascii="Arial" w:eastAsia="Arial" w:hAnsi="Arial" w:cs="Arial"/>
          <w:i/>
          <w:sz w:val="24"/>
          <w:szCs w:val="24"/>
        </w:rPr>
      </w:pPr>
      <w:r>
        <w:rPr>
          <w:rFonts w:ascii="Arial" w:eastAsia="Arial" w:hAnsi="Arial" w:cs="Arial"/>
          <w:i/>
          <w:sz w:val="24"/>
          <w:szCs w:val="24"/>
        </w:rPr>
        <w:t>1. Dictar las normas necesarias para garantizar el adecuado cumplimiento de las funciones y la eficiente prestación de los servicios a cargo del Distrito.”</w:t>
      </w:r>
    </w:p>
    <w:p w:rsidR="00D254BE" w:rsidRDefault="00606E42">
      <w:pPr>
        <w:jc w:val="both"/>
        <w:rPr>
          <w:rFonts w:ascii="Arial" w:eastAsia="Arial" w:hAnsi="Arial" w:cs="Arial"/>
          <w:b/>
          <w:sz w:val="24"/>
          <w:szCs w:val="24"/>
        </w:rPr>
      </w:pPr>
      <w:r>
        <w:rPr>
          <w:rFonts w:ascii="Arial" w:eastAsia="Arial" w:hAnsi="Arial" w:cs="Arial"/>
          <w:b/>
          <w:sz w:val="24"/>
          <w:szCs w:val="24"/>
        </w:rPr>
        <w:t>VI. IMPACTO FISCAL</w:t>
      </w:r>
    </w:p>
    <w:p w:rsidR="00D254BE" w:rsidRDefault="00606E42">
      <w:pPr>
        <w:spacing w:before="240" w:after="240" w:line="240" w:lineRule="auto"/>
        <w:jc w:val="both"/>
        <w:rPr>
          <w:rFonts w:ascii="Arial" w:eastAsia="Arial" w:hAnsi="Arial" w:cs="Arial"/>
          <w:sz w:val="24"/>
          <w:szCs w:val="24"/>
        </w:rPr>
      </w:pPr>
      <w:r>
        <w:rPr>
          <w:rFonts w:ascii="Arial" w:eastAsia="Arial" w:hAnsi="Arial" w:cs="Arial"/>
          <w:sz w:val="24"/>
          <w:szCs w:val="24"/>
        </w:rPr>
        <w:t xml:space="preserve">De conformidad con el artículo 7 de la Ley 819 de 2003, la presente iniciativa no genera un impacto fiscal que implique una modificación en el Marco Fiscal de Mediano Plazo, toda vez que no se incrementará el presupuesto del Distrito, ni ocasionará la creación de una nueva fuente de financiación. Las medidas a adoptar deberán ser financiadas con el presupuesto del Fondo Cuenta Concejo de Bogotá, que ya contempla esta inversión, y así fue incorporado al Plan Plurianual de Inversiones vigente. </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b/>
          <w:sz w:val="24"/>
          <w:szCs w:val="24"/>
        </w:rPr>
      </w:pPr>
      <w:r>
        <w:rPr>
          <w:rFonts w:ascii="Arial" w:eastAsia="Arial" w:hAnsi="Arial" w:cs="Arial"/>
          <w:b/>
          <w:sz w:val="24"/>
          <w:szCs w:val="24"/>
        </w:rPr>
        <w:t>VII.</w:t>
      </w:r>
      <w:r>
        <w:rPr>
          <w:rFonts w:ascii="Arial" w:eastAsia="Arial" w:hAnsi="Arial" w:cs="Arial"/>
          <w:i/>
          <w:sz w:val="24"/>
          <w:szCs w:val="24"/>
        </w:rPr>
        <w:t xml:space="preserve"> </w:t>
      </w:r>
      <w:r>
        <w:rPr>
          <w:rFonts w:ascii="Arial" w:eastAsia="Arial" w:hAnsi="Arial" w:cs="Arial"/>
          <w:b/>
          <w:sz w:val="24"/>
          <w:szCs w:val="24"/>
        </w:rPr>
        <w:t>CONSIDERACIONES DE LOS PONENTES</w:t>
      </w:r>
    </w:p>
    <w:p w:rsidR="00D254BE" w:rsidRDefault="00D254BE">
      <w:pPr>
        <w:spacing w:after="0" w:line="240" w:lineRule="auto"/>
        <w:jc w:val="both"/>
        <w:rPr>
          <w:rFonts w:ascii="Arial" w:eastAsia="Arial" w:hAnsi="Arial" w:cs="Arial"/>
          <w:b/>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En 1998, el Concejo de Bogotá creó la orden civil al mérito Álvaro Gómez Hurado con el fin de enaltecer el trabajo de los periodistas, exaltando el nombre de quien fuera un abogado, político y periodista que dedicó su vida a informar a través de distintos medios.</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Este reconocimiento incorporó diferentes categorías que, si bien recogen los principales aspectos del periodismo, se basó en las condiciones propias de los medios informáticos del momento. No obstante, desde 1998 han avanzado considerablemente los sistemas tecnológicos, al punto que la legislación y las normas han tenido que reconocer las nuevas formas de informar, asignándole especial importancia en la actualidad a las redes sociales y a los medios digitales de información o creación de contenidos. </w:t>
      </w:r>
    </w:p>
    <w:p w:rsidR="00D254BE" w:rsidRDefault="00D254BE">
      <w:pPr>
        <w:spacing w:after="0" w:line="240" w:lineRule="auto"/>
        <w:jc w:val="both"/>
        <w:rPr>
          <w:rFonts w:ascii="Arial" w:eastAsia="Arial" w:hAnsi="Arial" w:cs="Arial"/>
          <w:b/>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De acuerdo </w:t>
      </w:r>
      <w:r w:rsidR="00213227">
        <w:rPr>
          <w:rFonts w:ascii="Arial" w:eastAsia="Arial" w:hAnsi="Arial" w:cs="Arial"/>
          <w:sz w:val="24"/>
          <w:szCs w:val="24"/>
        </w:rPr>
        <w:t>con ello</w:t>
      </w:r>
      <w:r>
        <w:rPr>
          <w:rFonts w:ascii="Arial" w:eastAsia="Arial" w:hAnsi="Arial" w:cs="Arial"/>
          <w:sz w:val="24"/>
          <w:szCs w:val="24"/>
        </w:rPr>
        <w:t>, el Proyecto de Acuerdo No. 529 de 2025 plantea la modificación de la norma expedida décadas atrás, para incorporar dentro de las modalidades de participación, las piezas informativas desarrolladas para medios digitales a través de los diferentes formatos que circulan por la web y otros medios de circulación masiva de información o contenidos digitales.</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Adicionalmente, el proyecto circunscribe la producción de contenidos o noticias al territorio Distrital, resaltando la importancia de la labor adelantada por los periodistas sobre las historias de Bogotá y de los Bogotanos, con lo cual se exalta la historia de la ciudad.</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Respecto del consumo de noticias e información por otros medios, la Comunicación Reguladora de Comunicaciones presentó en 2024 el estudio “Infancia y medios audiovisuales” sobre consumo, mediación parental y apropiación, para el que la firma Brandstrat S.A.S aplicó más de 2600 encuestas en hogares e instituciones  educativas, donde uno de las mediciones se basó en el consumo audiovisual, mostrando que el 61% de los niños, niñas y adolescentes tiene teléfono móvil y el 70% de ellos accede a contenidos por internet</w:t>
      </w:r>
      <w:r>
        <w:rPr>
          <w:rFonts w:ascii="Arial" w:eastAsia="Arial" w:hAnsi="Arial" w:cs="Arial"/>
          <w:sz w:val="24"/>
          <w:szCs w:val="24"/>
          <w:vertAlign w:val="superscript"/>
        </w:rPr>
        <w:footnoteReference w:id="1"/>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En el mismo sentido, el Instituto Reuters de la Universidad de Oxford en su Informe de Noticias Digitales 2022 (Digital News Report en su nombre original) identificó  que se presentan grandes dificultades para atraer a los jóvenes al mundo de las noticias e indicó que ocho de cada diez (78%) personas del grupo de 18-24 años acceden semanalmente a las noticias por medio de agregadores, motores de búsqueda y redes sociales, y no a través de las aplicaciones o los sitios web de los medios</w:t>
      </w:r>
      <w:r>
        <w:rPr>
          <w:rFonts w:ascii="Arial" w:eastAsia="Arial" w:hAnsi="Arial" w:cs="Arial"/>
          <w:sz w:val="24"/>
          <w:szCs w:val="24"/>
          <w:vertAlign w:val="superscript"/>
        </w:rPr>
        <w:footnoteReference w:id="2"/>
      </w:r>
      <w:r>
        <w:rPr>
          <w:rFonts w:ascii="Arial" w:eastAsia="Arial" w:hAnsi="Arial" w:cs="Arial"/>
          <w:sz w:val="24"/>
          <w:szCs w:val="24"/>
        </w:rPr>
        <w:t>.</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La propuesta presentada por el autor incorpora también otras categorías que toman gran importancia en los medios nacionales y locales, tal como el periodismo </w:t>
      </w:r>
      <w:r w:rsidR="00213227">
        <w:rPr>
          <w:rFonts w:ascii="Arial" w:eastAsia="Arial" w:hAnsi="Arial" w:cs="Arial"/>
          <w:sz w:val="24"/>
          <w:szCs w:val="24"/>
        </w:rPr>
        <w:t>judicial,</w:t>
      </w:r>
      <w:r>
        <w:rPr>
          <w:rFonts w:ascii="Arial" w:eastAsia="Arial" w:hAnsi="Arial" w:cs="Arial"/>
          <w:sz w:val="24"/>
          <w:szCs w:val="24"/>
        </w:rPr>
        <w:t xml:space="preserve"> el periodismo investigativo, y en concordancia con lo expuesto antes, una categoría clave es el contenido periodístico exclusivo para redes sociales, así como una categoría destinada a reconocer los vodcast o videos podcast que en la actualidad tienen gran relevancia en la transmisión de información por distintos medios.</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Adicionalmente se crean distinciones especiales, tendientes a reconocer los esfuerzos adicionales de los </w:t>
      </w:r>
      <w:r w:rsidR="00213227">
        <w:rPr>
          <w:rFonts w:ascii="Arial" w:eastAsia="Arial" w:hAnsi="Arial" w:cs="Arial"/>
          <w:sz w:val="24"/>
          <w:szCs w:val="24"/>
        </w:rPr>
        <w:t>periodistas como</w:t>
      </w:r>
      <w:r>
        <w:rPr>
          <w:rFonts w:ascii="Arial" w:eastAsia="Arial" w:hAnsi="Arial" w:cs="Arial"/>
          <w:sz w:val="24"/>
          <w:szCs w:val="24"/>
        </w:rPr>
        <w:t xml:space="preserve"> la innovación en el ejercicio </w:t>
      </w:r>
      <w:r w:rsidR="00213227">
        <w:rPr>
          <w:rFonts w:ascii="Arial" w:eastAsia="Arial" w:hAnsi="Arial" w:cs="Arial"/>
          <w:sz w:val="24"/>
          <w:szCs w:val="24"/>
        </w:rPr>
        <w:t>periodístico y</w:t>
      </w:r>
      <w:r>
        <w:rPr>
          <w:rFonts w:ascii="Arial" w:eastAsia="Arial" w:hAnsi="Arial" w:cs="Arial"/>
          <w:sz w:val="24"/>
          <w:szCs w:val="24"/>
        </w:rPr>
        <w:t xml:space="preserve"> un reconocimiento al mérito por dedicar su vida y obra </w:t>
      </w:r>
      <w:r w:rsidR="00213227">
        <w:rPr>
          <w:rFonts w:ascii="Arial" w:eastAsia="Arial" w:hAnsi="Arial" w:cs="Arial"/>
          <w:sz w:val="24"/>
          <w:szCs w:val="24"/>
        </w:rPr>
        <w:t>al periodismo</w:t>
      </w:r>
      <w:r>
        <w:rPr>
          <w:rFonts w:ascii="Arial" w:eastAsia="Arial" w:hAnsi="Arial" w:cs="Arial"/>
          <w:sz w:val="24"/>
          <w:szCs w:val="24"/>
        </w:rPr>
        <w:t>, destinada a los o las periodistas que tienen una amplia trayectoria y han aportado además a la dignificación de la labor periodística, tal como lo hizo Álvaro Gómez Hurtado.</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Igualmente, el reconocimiento a la labor periodística en equipo aparece como un elemento fundamental de reconocimiento a la labor individual en los trabajos desarrollados por grupos o equipos de trabajo, donde si bien el producto es uno sólo, vale la pena enaltecer la labor de todos quienes lo hayan hecho posible. </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lastRenderedPageBreak/>
        <w:t xml:space="preserve">Este proyecto de acuerdo, en general se ajusta a las necesidades de la modernidad, ofreciendo una alternativa de reconocimiento y dignificación a la labor de los periodistas que hacen sus trabajos alrededor de Bogotá. </w:t>
      </w:r>
    </w:p>
    <w:p w:rsidR="00D254BE" w:rsidRDefault="00D254BE">
      <w:pPr>
        <w:spacing w:after="0" w:line="240" w:lineRule="auto"/>
        <w:jc w:val="both"/>
        <w:rPr>
          <w:rFonts w:ascii="Arial" w:eastAsia="Arial" w:hAnsi="Arial" w:cs="Arial"/>
          <w:sz w:val="24"/>
          <w:szCs w:val="24"/>
        </w:rPr>
      </w:pPr>
    </w:p>
    <w:p w:rsidR="00D254BE" w:rsidRDefault="00606E42">
      <w:pPr>
        <w:spacing w:after="0" w:line="240" w:lineRule="auto"/>
        <w:jc w:val="both"/>
        <w:rPr>
          <w:rFonts w:ascii="Arial" w:eastAsia="Arial" w:hAnsi="Arial" w:cs="Arial"/>
          <w:sz w:val="24"/>
          <w:szCs w:val="24"/>
        </w:rPr>
      </w:pPr>
      <w:r>
        <w:rPr>
          <w:rFonts w:ascii="Arial" w:eastAsia="Arial" w:hAnsi="Arial" w:cs="Arial"/>
          <w:sz w:val="24"/>
          <w:szCs w:val="24"/>
        </w:rPr>
        <w:t xml:space="preserve">En consecuencia, invitamos a los miembros de la comisión segunda permanente a acompañar la iniciativa, para que a partir de la siguiente entrega se incorporen los elementos que permitan entregar este importante reconocimiento a los y las periodistas que hacen sus trabajos por y para Bogotá. </w:t>
      </w:r>
    </w:p>
    <w:p w:rsidR="00D254BE" w:rsidRDefault="00D254BE">
      <w:pPr>
        <w:spacing w:after="0" w:line="240" w:lineRule="auto"/>
        <w:jc w:val="both"/>
        <w:rPr>
          <w:rFonts w:ascii="Arial" w:eastAsia="Arial" w:hAnsi="Arial" w:cs="Arial"/>
          <w:sz w:val="24"/>
          <w:szCs w:val="24"/>
        </w:rPr>
      </w:pPr>
    </w:p>
    <w:p w:rsidR="00D254BE" w:rsidRDefault="00606E42">
      <w:pPr>
        <w:jc w:val="both"/>
        <w:rPr>
          <w:rFonts w:ascii="Arial" w:eastAsia="Arial" w:hAnsi="Arial" w:cs="Arial"/>
          <w:b/>
          <w:sz w:val="24"/>
          <w:szCs w:val="24"/>
          <w:highlight w:val="white"/>
        </w:rPr>
      </w:pPr>
      <w:r>
        <w:rPr>
          <w:rFonts w:ascii="Arial" w:eastAsia="Arial" w:hAnsi="Arial" w:cs="Arial"/>
          <w:b/>
          <w:sz w:val="24"/>
          <w:szCs w:val="24"/>
          <w:highlight w:val="white"/>
        </w:rPr>
        <w:t>VIII.  CONCLUSIONES</w:t>
      </w:r>
    </w:p>
    <w:p w:rsidR="00D254BE" w:rsidRDefault="00606E42">
      <w:pPr>
        <w:jc w:val="both"/>
        <w:rPr>
          <w:rFonts w:ascii="Arial" w:eastAsia="Arial" w:hAnsi="Arial" w:cs="Arial"/>
          <w:i/>
          <w:sz w:val="24"/>
          <w:szCs w:val="24"/>
        </w:rPr>
      </w:pPr>
      <w:bookmarkStart w:id="1" w:name="_heading=h.gjdgxs" w:colFirst="0" w:colLast="0"/>
      <w:bookmarkEnd w:id="1"/>
      <w:r>
        <w:rPr>
          <w:rFonts w:ascii="Arial" w:eastAsia="Arial" w:hAnsi="Arial" w:cs="Arial"/>
          <w:sz w:val="24"/>
          <w:szCs w:val="24"/>
          <w:highlight w:val="white"/>
        </w:rPr>
        <w:t>En atención con los argumentos esbozados en las consideraciones nos permitimos rendir</w:t>
      </w:r>
      <w:r>
        <w:rPr>
          <w:rFonts w:ascii="Arial" w:eastAsia="Arial" w:hAnsi="Arial" w:cs="Arial"/>
          <w:b/>
          <w:sz w:val="24"/>
          <w:szCs w:val="24"/>
          <w:highlight w:val="white"/>
        </w:rPr>
        <w:t xml:space="preserve"> PONENCIA POSITIVA </w:t>
      </w:r>
      <w:r>
        <w:rPr>
          <w:rFonts w:ascii="Arial" w:eastAsia="Arial" w:hAnsi="Arial" w:cs="Arial"/>
          <w:sz w:val="24"/>
          <w:szCs w:val="24"/>
          <w:highlight w:val="white"/>
        </w:rPr>
        <w:t xml:space="preserve">al Proyecto de Acuerdo 529 de 2025: </w:t>
      </w:r>
      <w:r>
        <w:rPr>
          <w:rFonts w:ascii="Arial" w:eastAsia="Arial" w:hAnsi="Arial" w:cs="Arial"/>
          <w:i/>
          <w:sz w:val="24"/>
          <w:szCs w:val="24"/>
        </w:rPr>
        <w:t>“POR MEDIO DEL CUAL SE MODIFICA EL ACUERDO 23 DE 1998, QUE OTORGA LA ORDEN CIVIL AL MÉRITO PERIODÍSTICO, ÁLVARO GÓMEZ HURTADO”.</w:t>
      </w:r>
    </w:p>
    <w:p w:rsidR="00D254BE" w:rsidRDefault="00D254BE">
      <w:pPr>
        <w:jc w:val="both"/>
        <w:rPr>
          <w:rFonts w:ascii="Arial" w:eastAsia="Arial" w:hAnsi="Arial" w:cs="Arial"/>
          <w:i/>
          <w:sz w:val="24"/>
          <w:szCs w:val="24"/>
          <w:highlight w:val="white"/>
        </w:rPr>
      </w:pPr>
      <w:bookmarkStart w:id="2" w:name="_heading=h.ly9jqaigoo9w" w:colFirst="0" w:colLast="0"/>
      <w:bookmarkEnd w:id="2"/>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Cordialmente,</w:t>
      </w:r>
    </w:p>
    <w:p w:rsidR="00D254BE" w:rsidRDefault="00D254BE">
      <w:pPr>
        <w:spacing w:after="0" w:line="276" w:lineRule="auto"/>
        <w:jc w:val="both"/>
        <w:rPr>
          <w:rFonts w:ascii="Arial" w:eastAsia="Arial" w:hAnsi="Arial" w:cs="Arial"/>
          <w:sz w:val="24"/>
          <w:szCs w:val="24"/>
        </w:rPr>
      </w:pPr>
    </w:p>
    <w:p w:rsidR="00D254BE" w:rsidRDefault="00D254BE">
      <w:pPr>
        <w:spacing w:after="0" w:line="276" w:lineRule="auto"/>
        <w:jc w:val="both"/>
        <w:rPr>
          <w:rFonts w:ascii="Arial" w:eastAsia="Arial" w:hAnsi="Arial" w:cs="Arial"/>
          <w:sz w:val="24"/>
          <w:szCs w:val="24"/>
        </w:rPr>
      </w:pPr>
    </w:p>
    <w:p w:rsidR="00D254BE" w:rsidRDefault="00D254BE">
      <w:pPr>
        <w:spacing w:after="0" w:line="276" w:lineRule="auto"/>
        <w:jc w:val="both"/>
        <w:rPr>
          <w:rFonts w:ascii="Arial" w:eastAsia="Arial" w:hAnsi="Arial" w:cs="Arial"/>
          <w:sz w:val="24"/>
          <w:szCs w:val="24"/>
        </w:rPr>
      </w:pPr>
    </w:p>
    <w:p w:rsidR="00D254BE" w:rsidRDefault="00D254BE">
      <w:pPr>
        <w:spacing w:after="0" w:line="276" w:lineRule="auto"/>
        <w:jc w:val="both"/>
        <w:rPr>
          <w:rFonts w:ascii="Arial" w:eastAsia="Arial" w:hAnsi="Arial" w:cs="Arial"/>
          <w:sz w:val="24"/>
          <w:szCs w:val="24"/>
        </w:rPr>
      </w:pPr>
    </w:p>
    <w:p w:rsidR="00D254BE" w:rsidRDefault="00606E42">
      <w:pPr>
        <w:spacing w:after="0" w:line="276" w:lineRule="auto"/>
        <w:jc w:val="both"/>
        <w:rPr>
          <w:rFonts w:ascii="Arial" w:eastAsia="Arial" w:hAnsi="Arial" w:cs="Arial"/>
          <w:b/>
          <w:sz w:val="24"/>
          <w:szCs w:val="24"/>
        </w:rPr>
      </w:pPr>
      <w:r>
        <w:rPr>
          <w:rFonts w:ascii="Arial" w:eastAsia="Arial" w:hAnsi="Arial" w:cs="Arial"/>
          <w:b/>
          <w:sz w:val="24"/>
          <w:szCs w:val="24"/>
        </w:rPr>
        <w:t xml:space="preserve">GERMÁN AUGUSTO GARCÍA MAYA </w:t>
      </w:r>
      <w:r>
        <w:rPr>
          <w:rFonts w:ascii="Arial" w:eastAsia="Arial" w:hAnsi="Arial" w:cs="Arial"/>
          <w:b/>
          <w:sz w:val="24"/>
          <w:szCs w:val="24"/>
        </w:rPr>
        <w:tab/>
      </w:r>
      <w:r>
        <w:rPr>
          <w:rFonts w:ascii="Arial" w:eastAsia="Arial" w:hAnsi="Arial" w:cs="Arial"/>
          <w:b/>
          <w:sz w:val="24"/>
          <w:szCs w:val="24"/>
        </w:rPr>
        <w:tab/>
        <w:t>FERNANDOLÓPEZ GUTIÉRREZ</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 xml:space="preserve">Concejal de Bogotá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 xml:space="preserve">Concejal de Bogotá </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Partido Liberal Colombiano</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Partido Nuevo Liberalismo</w:t>
      </w:r>
    </w:p>
    <w:p w:rsidR="00D254BE" w:rsidRDefault="00606E42">
      <w:pPr>
        <w:spacing w:after="0" w:line="276" w:lineRule="auto"/>
        <w:jc w:val="both"/>
        <w:rPr>
          <w:rFonts w:ascii="Arial" w:eastAsia="Arial" w:hAnsi="Arial" w:cs="Arial"/>
          <w:sz w:val="24"/>
          <w:szCs w:val="24"/>
        </w:rPr>
      </w:pPr>
      <w:r>
        <w:rPr>
          <w:rFonts w:ascii="Arial" w:eastAsia="Arial" w:hAnsi="Arial" w:cs="Arial"/>
          <w:sz w:val="24"/>
          <w:szCs w:val="24"/>
        </w:rPr>
        <w:t>Coordinador Ponente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Ponente</w:t>
      </w:r>
    </w:p>
    <w:sectPr w:rsidR="00D254BE">
      <w:headerReference w:type="default" r:id="rId9"/>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031B0" w:rsidRDefault="00A031B0">
      <w:pPr>
        <w:spacing w:after="0" w:line="240" w:lineRule="auto"/>
      </w:pPr>
      <w:r>
        <w:separator/>
      </w:r>
    </w:p>
  </w:endnote>
  <w:endnote w:type="continuationSeparator" w:id="0">
    <w:p w:rsidR="00A031B0" w:rsidRDefault="00A031B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031B0" w:rsidRDefault="00A031B0">
      <w:pPr>
        <w:spacing w:after="0" w:line="240" w:lineRule="auto"/>
      </w:pPr>
      <w:r>
        <w:separator/>
      </w:r>
    </w:p>
  </w:footnote>
  <w:footnote w:type="continuationSeparator" w:id="0">
    <w:p w:rsidR="00A031B0" w:rsidRDefault="00A031B0">
      <w:pPr>
        <w:spacing w:after="0" w:line="240" w:lineRule="auto"/>
      </w:pPr>
      <w:r>
        <w:continuationSeparator/>
      </w:r>
    </w:p>
  </w:footnote>
  <w:footnote w:id="1">
    <w:p w:rsidR="00D254BE" w:rsidRDefault="00606E42">
      <w:pPr>
        <w:spacing w:after="0" w:line="240" w:lineRule="auto"/>
        <w:rPr>
          <w:sz w:val="16"/>
          <w:szCs w:val="16"/>
        </w:rPr>
      </w:pPr>
      <w:r>
        <w:rPr>
          <w:vertAlign w:val="superscript"/>
        </w:rPr>
        <w:footnoteRef/>
      </w:r>
      <w:r>
        <w:rPr>
          <w:sz w:val="20"/>
          <w:szCs w:val="20"/>
        </w:rPr>
        <w:t xml:space="preserve"> </w:t>
      </w:r>
      <w:r>
        <w:rPr>
          <w:sz w:val="16"/>
          <w:szCs w:val="16"/>
        </w:rPr>
        <w:t>https://www.crcom.gov.co/es/noticias/comunicado-prensa/crc-lanza-informe-sobre-consumo-audiovisual-infancia-en-colombia</w:t>
      </w:r>
    </w:p>
  </w:footnote>
  <w:footnote w:id="2">
    <w:p w:rsidR="00D254BE" w:rsidRDefault="00606E42">
      <w:pPr>
        <w:spacing w:after="0" w:line="240" w:lineRule="auto"/>
        <w:rPr>
          <w:sz w:val="16"/>
          <w:szCs w:val="16"/>
        </w:rPr>
      </w:pPr>
      <w:r>
        <w:rPr>
          <w:vertAlign w:val="superscript"/>
        </w:rPr>
        <w:footnoteRef/>
      </w:r>
      <w:r>
        <w:rPr>
          <w:sz w:val="16"/>
          <w:szCs w:val="16"/>
        </w:rPr>
        <w:t xml:space="preserve"> Fundación Gabo. (2022, 22 de junio). </w:t>
      </w:r>
      <w:r>
        <w:rPr>
          <w:i/>
          <w:sz w:val="16"/>
          <w:szCs w:val="16"/>
        </w:rPr>
        <w:t>Digital News Report 2022 revela que cada vez más personas evitan las noticias mientras los jóvenes se inclinan por TikTok</w:t>
      </w:r>
      <w:r>
        <w:rPr>
          <w:sz w:val="16"/>
          <w:szCs w:val="16"/>
        </w:rPr>
        <w:t>.</w:t>
      </w:r>
      <w:hyperlink r:id="rId1">
        <w:r>
          <w:rPr>
            <w:sz w:val="16"/>
            <w:szCs w:val="16"/>
          </w:rPr>
          <w:t xml:space="preserve"> </w:t>
        </w:r>
      </w:hyperlink>
      <w:hyperlink r:id="rId2">
        <w:r>
          <w:rPr>
            <w:color w:val="1155CC"/>
            <w:sz w:val="16"/>
            <w:szCs w:val="16"/>
            <w:u w:val="single"/>
          </w:rPr>
          <w:t>https://fundaciongabo.org/es/etica-periodistica/noticias/digital-news-report-2022-revela-que-cada-vez-mas-personas-evitan-las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254BE" w:rsidRDefault="00D254BE">
    <w:pPr>
      <w:widowControl w:val="0"/>
      <w:pBdr>
        <w:top w:val="nil"/>
        <w:left w:val="nil"/>
        <w:bottom w:val="nil"/>
        <w:right w:val="nil"/>
        <w:between w:val="nil"/>
      </w:pBdr>
      <w:spacing w:after="0" w:line="276" w:lineRule="auto"/>
      <w:jc w:val="center"/>
      <w:rPr>
        <w:rFonts w:ascii="Arial" w:eastAsia="Arial" w:hAnsi="Arial" w:cs="Arial"/>
        <w:b/>
        <w:color w:val="000000"/>
      </w:rPr>
    </w:pPr>
  </w:p>
  <w:tbl>
    <w:tblPr>
      <w:tblStyle w:val="af8"/>
      <w:tblW w:w="88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361"/>
      <w:gridCol w:w="4235"/>
      <w:gridCol w:w="2234"/>
    </w:tblGrid>
    <w:tr w:rsidR="00D254BE">
      <w:trPr>
        <w:trHeight w:val="440"/>
      </w:trPr>
      <w:tc>
        <w:tcPr>
          <w:tcW w:w="2361" w:type="dxa"/>
          <w:vMerge w:val="restart"/>
          <w:vAlign w:val="center"/>
        </w:tcPr>
        <w:p w:rsidR="00D254BE" w:rsidRDefault="00606E42">
          <w:pPr>
            <w:spacing w:line="276" w:lineRule="auto"/>
            <w:jc w:val="center"/>
            <w:rPr>
              <w:rFonts w:ascii="Arial" w:eastAsia="Arial" w:hAnsi="Arial" w:cs="Arial"/>
              <w:b/>
              <w:sz w:val="16"/>
              <w:szCs w:val="16"/>
            </w:rPr>
          </w:pPr>
          <w:r>
            <w:rPr>
              <w:rFonts w:ascii="Arial" w:eastAsia="Arial" w:hAnsi="Arial" w:cs="Arial"/>
              <w:b/>
              <w:noProof/>
              <w:sz w:val="16"/>
              <w:szCs w:val="16"/>
              <w:lang w:val="es-419" w:eastAsia="es-419"/>
            </w:rPr>
            <w:drawing>
              <wp:inline distT="0" distB="0" distL="0" distR="0">
                <wp:extent cx="749935" cy="883920"/>
                <wp:effectExtent l="0" t="0" r="0" b="0"/>
                <wp:docPr id="175493252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49935" cy="883920"/>
                        </a:xfrm>
                        <a:prstGeom prst="rect">
                          <a:avLst/>
                        </a:prstGeom>
                        <a:ln/>
                      </pic:spPr>
                    </pic:pic>
                  </a:graphicData>
                </a:graphic>
              </wp:inline>
            </w:drawing>
          </w:r>
        </w:p>
      </w:tc>
      <w:tc>
        <w:tcPr>
          <w:tcW w:w="4235" w:type="dxa"/>
          <w:vAlign w:val="center"/>
        </w:tcPr>
        <w:p w:rsidR="00D254BE" w:rsidRDefault="00606E42">
          <w:pPr>
            <w:spacing w:line="276" w:lineRule="auto"/>
            <w:jc w:val="center"/>
            <w:rPr>
              <w:rFonts w:ascii="Arial" w:eastAsia="Arial" w:hAnsi="Arial" w:cs="Arial"/>
              <w:sz w:val="18"/>
              <w:szCs w:val="18"/>
            </w:rPr>
          </w:pPr>
          <w:r>
            <w:rPr>
              <w:rFonts w:ascii="Arial" w:eastAsia="Arial" w:hAnsi="Arial" w:cs="Arial"/>
              <w:sz w:val="18"/>
              <w:szCs w:val="18"/>
            </w:rPr>
            <w:t>PROCESO GESTIÓN NORMATIVA</w:t>
          </w:r>
        </w:p>
      </w:tc>
      <w:tc>
        <w:tcPr>
          <w:tcW w:w="2234" w:type="dxa"/>
          <w:vAlign w:val="center"/>
        </w:tcPr>
        <w:p w:rsidR="00D254BE" w:rsidRDefault="00606E42">
          <w:pPr>
            <w:spacing w:line="276" w:lineRule="auto"/>
            <w:jc w:val="center"/>
            <w:rPr>
              <w:rFonts w:ascii="Arial" w:eastAsia="Arial" w:hAnsi="Arial" w:cs="Arial"/>
              <w:sz w:val="16"/>
              <w:szCs w:val="16"/>
            </w:rPr>
          </w:pPr>
          <w:r>
            <w:rPr>
              <w:rFonts w:ascii="Arial" w:eastAsia="Arial" w:hAnsi="Arial" w:cs="Arial"/>
              <w:sz w:val="16"/>
              <w:szCs w:val="16"/>
            </w:rPr>
            <w:t>CÓDIGO</w:t>
          </w:r>
          <w:r>
            <w:rPr>
              <w:rFonts w:ascii="Arial" w:eastAsia="Arial" w:hAnsi="Arial" w:cs="Arial"/>
              <w:color w:val="3366FF"/>
              <w:sz w:val="16"/>
              <w:szCs w:val="16"/>
            </w:rPr>
            <w:t xml:space="preserve">: </w:t>
          </w:r>
          <w:r>
            <w:rPr>
              <w:rFonts w:ascii="Arial" w:eastAsia="Arial" w:hAnsi="Arial" w:cs="Arial"/>
              <w:sz w:val="16"/>
              <w:szCs w:val="16"/>
            </w:rPr>
            <w:t>GN-PR001- FO2</w:t>
          </w:r>
        </w:p>
      </w:tc>
    </w:tr>
    <w:tr w:rsidR="00D254BE">
      <w:trPr>
        <w:trHeight w:val="440"/>
      </w:trPr>
      <w:tc>
        <w:tcPr>
          <w:tcW w:w="2361" w:type="dxa"/>
          <w:vMerge/>
          <w:vAlign w:val="center"/>
        </w:tcPr>
        <w:p w:rsidR="00D254BE" w:rsidRDefault="00D254BE">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restart"/>
          <w:vAlign w:val="center"/>
        </w:tcPr>
        <w:p w:rsidR="00D254BE" w:rsidRDefault="00606E42">
          <w:pPr>
            <w:spacing w:line="276" w:lineRule="auto"/>
            <w:jc w:val="center"/>
            <w:rPr>
              <w:rFonts w:ascii="Arial" w:eastAsia="Arial" w:hAnsi="Arial" w:cs="Arial"/>
              <w:sz w:val="20"/>
              <w:szCs w:val="20"/>
            </w:rPr>
          </w:pPr>
          <w:r>
            <w:rPr>
              <w:rFonts w:ascii="Arial" w:eastAsia="Arial" w:hAnsi="Arial" w:cs="Arial"/>
              <w:sz w:val="20"/>
              <w:szCs w:val="20"/>
            </w:rPr>
            <w:t>PRESENTACIÓN PONENCIAS</w:t>
          </w:r>
        </w:p>
      </w:tc>
      <w:tc>
        <w:tcPr>
          <w:tcW w:w="2234" w:type="dxa"/>
          <w:vAlign w:val="center"/>
        </w:tcPr>
        <w:p w:rsidR="00D254BE" w:rsidRDefault="00606E42">
          <w:pPr>
            <w:spacing w:line="276" w:lineRule="auto"/>
            <w:jc w:val="center"/>
            <w:rPr>
              <w:rFonts w:ascii="Arial" w:eastAsia="Arial" w:hAnsi="Arial" w:cs="Arial"/>
              <w:sz w:val="16"/>
              <w:szCs w:val="16"/>
            </w:rPr>
          </w:pPr>
          <w:r>
            <w:rPr>
              <w:rFonts w:ascii="Arial" w:eastAsia="Arial" w:hAnsi="Arial" w:cs="Arial"/>
              <w:sz w:val="16"/>
              <w:szCs w:val="16"/>
            </w:rPr>
            <w:t>VERSIÓN:    01</w:t>
          </w:r>
        </w:p>
      </w:tc>
    </w:tr>
    <w:tr w:rsidR="00D254BE">
      <w:trPr>
        <w:trHeight w:val="440"/>
      </w:trPr>
      <w:tc>
        <w:tcPr>
          <w:tcW w:w="2361" w:type="dxa"/>
          <w:vMerge/>
          <w:vAlign w:val="center"/>
        </w:tcPr>
        <w:p w:rsidR="00D254BE" w:rsidRDefault="00D254BE">
          <w:pPr>
            <w:widowControl w:val="0"/>
            <w:pBdr>
              <w:top w:val="nil"/>
              <w:left w:val="nil"/>
              <w:bottom w:val="nil"/>
              <w:right w:val="nil"/>
              <w:between w:val="nil"/>
            </w:pBdr>
            <w:spacing w:line="276" w:lineRule="auto"/>
            <w:rPr>
              <w:rFonts w:ascii="Arial" w:eastAsia="Arial" w:hAnsi="Arial" w:cs="Arial"/>
              <w:sz w:val="16"/>
              <w:szCs w:val="16"/>
            </w:rPr>
          </w:pPr>
        </w:p>
      </w:tc>
      <w:tc>
        <w:tcPr>
          <w:tcW w:w="4235" w:type="dxa"/>
          <w:vMerge/>
          <w:vAlign w:val="center"/>
        </w:tcPr>
        <w:p w:rsidR="00D254BE" w:rsidRDefault="00D254BE">
          <w:pPr>
            <w:widowControl w:val="0"/>
            <w:pBdr>
              <w:top w:val="nil"/>
              <w:left w:val="nil"/>
              <w:bottom w:val="nil"/>
              <w:right w:val="nil"/>
              <w:between w:val="nil"/>
            </w:pBdr>
            <w:spacing w:line="276" w:lineRule="auto"/>
            <w:rPr>
              <w:rFonts w:ascii="Arial" w:eastAsia="Arial" w:hAnsi="Arial" w:cs="Arial"/>
              <w:sz w:val="16"/>
              <w:szCs w:val="16"/>
            </w:rPr>
          </w:pPr>
        </w:p>
      </w:tc>
      <w:tc>
        <w:tcPr>
          <w:tcW w:w="2234" w:type="dxa"/>
          <w:vAlign w:val="center"/>
        </w:tcPr>
        <w:p w:rsidR="00D254BE" w:rsidRDefault="00606E42">
          <w:pPr>
            <w:spacing w:line="276" w:lineRule="auto"/>
            <w:jc w:val="center"/>
            <w:rPr>
              <w:rFonts w:ascii="Arial" w:eastAsia="Arial" w:hAnsi="Arial" w:cs="Arial"/>
              <w:sz w:val="16"/>
              <w:szCs w:val="16"/>
            </w:rPr>
          </w:pPr>
          <w:r>
            <w:rPr>
              <w:rFonts w:ascii="Arial" w:eastAsia="Arial" w:hAnsi="Arial" w:cs="Arial"/>
              <w:sz w:val="16"/>
              <w:szCs w:val="16"/>
            </w:rPr>
            <w:t>FECHA: 14-Nov-2019</w:t>
          </w:r>
        </w:p>
      </w:tc>
    </w:tr>
  </w:tbl>
  <w:p w:rsidR="00D254BE" w:rsidRDefault="00D254BE">
    <w:pPr>
      <w:pBdr>
        <w:top w:val="nil"/>
        <w:left w:val="nil"/>
        <w:bottom w:val="nil"/>
        <w:right w:val="nil"/>
        <w:between w:val="nil"/>
      </w:pBdr>
      <w:tabs>
        <w:tab w:val="center" w:pos="4419"/>
        <w:tab w:val="right" w:pos="8838"/>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BE20A3"/>
    <w:multiLevelType w:val="multilevel"/>
    <w:tmpl w:val="6910E72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54BE"/>
    <w:rsid w:val="00095478"/>
    <w:rsid w:val="00213227"/>
    <w:rsid w:val="00606E42"/>
    <w:rsid w:val="008A1E4C"/>
    <w:rsid w:val="009D3D49"/>
    <w:rsid w:val="00A031B0"/>
    <w:rsid w:val="00C2104E"/>
    <w:rsid w:val="00D254B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8630C75-BD18-4647-BC96-C93B95884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6072"/>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paragraph" w:styleId="Encabezado">
    <w:name w:val="header"/>
    <w:basedOn w:val="Normal"/>
    <w:link w:val="EncabezadoCar"/>
    <w:uiPriority w:val="99"/>
    <w:unhideWhenUsed/>
    <w:rsid w:val="00AE236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E2369"/>
  </w:style>
  <w:style w:type="paragraph" w:styleId="Piedepgina">
    <w:name w:val="footer"/>
    <w:basedOn w:val="Normal"/>
    <w:link w:val="PiedepginaCar"/>
    <w:uiPriority w:val="99"/>
    <w:unhideWhenUsed/>
    <w:rsid w:val="00AE236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E2369"/>
  </w:style>
  <w:style w:type="table" w:styleId="Tablaconcuadrcula">
    <w:name w:val="Table Grid"/>
    <w:basedOn w:val="Tablanormal"/>
    <w:uiPriority w:val="39"/>
    <w:rsid w:val="002376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EA0777"/>
    <w:pPr>
      <w:ind w:left="720"/>
      <w:contextualSpacing/>
    </w:p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5"/>
    <w:tblPr>
      <w:tblStyleRowBandSize w:val="1"/>
      <w:tblStyleColBandSize w:val="1"/>
      <w:tblCellMar>
        <w:left w:w="108" w:type="dxa"/>
        <w:right w:w="108" w:type="dxa"/>
      </w:tblCellMar>
    </w:tblPr>
  </w:style>
  <w:style w:type="table" w:customStyle="1" w:styleId="a0">
    <w:basedOn w:val="TableNormal5"/>
    <w:tblPr>
      <w:tblStyleRowBandSize w:val="1"/>
      <w:tblStyleColBandSize w:val="1"/>
      <w:tblCellMar>
        <w:top w:w="100" w:type="dxa"/>
        <w:left w:w="100" w:type="dxa"/>
        <w:bottom w:w="100" w:type="dxa"/>
        <w:right w:w="100" w:type="dxa"/>
      </w:tblCellMar>
    </w:tblPr>
  </w:style>
  <w:style w:type="table" w:customStyle="1" w:styleId="a1">
    <w:basedOn w:val="TableNormal5"/>
    <w:pPr>
      <w:spacing w:after="0" w:line="240" w:lineRule="auto"/>
    </w:pPr>
    <w:tblPr>
      <w:tblStyleRowBandSize w:val="1"/>
      <w:tblStyleColBandSize w:val="1"/>
      <w:tblCellMar>
        <w:left w:w="108" w:type="dxa"/>
        <w:right w:w="108" w:type="dxa"/>
      </w:tblCellMar>
    </w:tblPr>
  </w:style>
  <w:style w:type="table" w:customStyle="1" w:styleId="a2">
    <w:basedOn w:val="TableNormal5"/>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D0BEE"/>
    <w:pPr>
      <w:spacing w:before="100" w:beforeAutospacing="1" w:after="100" w:afterAutospacing="1" w:line="240" w:lineRule="auto"/>
    </w:pPr>
    <w:rPr>
      <w:rFonts w:ascii="Times New Roman" w:eastAsia="Times New Roman" w:hAnsi="Times New Roman" w:cs="Times New Roman"/>
      <w:sz w:val="24"/>
      <w:szCs w:val="24"/>
      <w:lang w:val="es-ES"/>
    </w:rPr>
  </w:style>
  <w:style w:type="table" w:customStyle="1" w:styleId="a3">
    <w:basedOn w:val="TableNormal5"/>
    <w:tblPr>
      <w:tblStyleRowBandSize w:val="1"/>
      <w:tblStyleColBandSize w:val="1"/>
      <w:tblCellMar>
        <w:top w:w="100" w:type="dxa"/>
        <w:left w:w="100" w:type="dxa"/>
        <w:bottom w:w="100" w:type="dxa"/>
        <w:right w:w="100" w:type="dxa"/>
      </w:tblCellMar>
    </w:tblPr>
  </w:style>
  <w:style w:type="table" w:customStyle="1" w:styleId="a4">
    <w:basedOn w:val="TableNormal5"/>
    <w:pPr>
      <w:spacing w:after="0" w:line="240" w:lineRule="auto"/>
    </w:pPr>
    <w:tblPr>
      <w:tblStyleRowBandSize w:val="1"/>
      <w:tblStyleColBandSize w:val="1"/>
      <w:tblCellMar>
        <w:left w:w="115" w:type="dxa"/>
        <w:right w:w="115" w:type="dxa"/>
      </w:tblCellMar>
    </w:tblPr>
  </w:style>
  <w:style w:type="table" w:customStyle="1" w:styleId="a5">
    <w:basedOn w:val="TableNormal5"/>
    <w:pPr>
      <w:spacing w:after="0" w:line="240" w:lineRule="auto"/>
    </w:pPr>
    <w:tblPr>
      <w:tblStyleRowBandSize w:val="1"/>
      <w:tblStyleColBandSize w:val="1"/>
      <w:tblCellMar>
        <w:left w:w="115" w:type="dxa"/>
        <w:right w:w="115" w:type="dxa"/>
      </w:tblCellMar>
    </w:tblPr>
  </w:style>
  <w:style w:type="table" w:customStyle="1" w:styleId="a6">
    <w:basedOn w:val="TableNormal4"/>
    <w:pPr>
      <w:spacing w:after="0" w:line="240" w:lineRule="auto"/>
    </w:pPr>
    <w:tblPr>
      <w:tblStyleRowBandSize w:val="1"/>
      <w:tblStyleColBandSize w:val="1"/>
      <w:tblCellMar>
        <w:left w:w="115" w:type="dxa"/>
        <w:right w:w="115" w:type="dxa"/>
      </w:tblCellMar>
    </w:tblPr>
  </w:style>
  <w:style w:type="table" w:customStyle="1" w:styleId="a7">
    <w:basedOn w:val="TableNormal4"/>
    <w:pPr>
      <w:spacing w:after="0" w:line="240" w:lineRule="auto"/>
    </w:pPr>
    <w:tblPr>
      <w:tblStyleRowBandSize w:val="1"/>
      <w:tblStyleColBandSize w:val="1"/>
      <w:tblCellMar>
        <w:left w:w="115" w:type="dxa"/>
        <w:right w:w="115" w:type="dxa"/>
      </w:tblCellMar>
    </w:tblPr>
  </w:style>
  <w:style w:type="table" w:customStyle="1" w:styleId="a8">
    <w:basedOn w:val="TableNormal4"/>
    <w:tblPr>
      <w:tblStyleRowBandSize w:val="1"/>
      <w:tblStyleColBandSize w:val="1"/>
      <w:tblCellMar>
        <w:top w:w="100" w:type="dxa"/>
        <w:left w:w="100" w:type="dxa"/>
        <w:bottom w:w="100" w:type="dxa"/>
        <w:right w:w="100" w:type="dxa"/>
      </w:tblCellMar>
    </w:tblPr>
  </w:style>
  <w:style w:type="table" w:customStyle="1" w:styleId="a9">
    <w:basedOn w:val="TableNormal4"/>
    <w:pPr>
      <w:spacing w:after="0" w:line="240" w:lineRule="auto"/>
    </w:pPr>
    <w:tblPr>
      <w:tblStyleRowBandSize w:val="1"/>
      <w:tblStyleColBandSize w:val="1"/>
      <w:tblCellMar>
        <w:left w:w="115" w:type="dxa"/>
        <w:right w:w="115" w:type="dxa"/>
      </w:tblCellMar>
    </w:tblPr>
  </w:style>
  <w:style w:type="table" w:customStyle="1" w:styleId="aa">
    <w:basedOn w:val="TableNormal4"/>
    <w:tblPr>
      <w:tblStyleRowBandSize w:val="1"/>
      <w:tblStyleColBandSize w:val="1"/>
      <w:tblCellMar>
        <w:top w:w="100" w:type="dxa"/>
        <w:left w:w="100" w:type="dxa"/>
        <w:bottom w:w="100" w:type="dxa"/>
        <w:right w:w="100" w:type="dxa"/>
      </w:tblCellMar>
    </w:tblPr>
  </w:style>
  <w:style w:type="table" w:customStyle="1" w:styleId="ab">
    <w:basedOn w:val="TableNormal4"/>
    <w:pPr>
      <w:spacing w:after="0" w:line="240" w:lineRule="auto"/>
    </w:pPr>
    <w:tblPr>
      <w:tblStyleRowBandSize w:val="1"/>
      <w:tblStyleColBandSize w:val="1"/>
      <w:tblCellMar>
        <w:left w:w="115" w:type="dxa"/>
        <w:right w:w="115" w:type="dxa"/>
      </w:tblCellMar>
    </w:tblPr>
  </w:style>
  <w:style w:type="paragraph" w:styleId="Textonotapie">
    <w:name w:val="footnote text"/>
    <w:basedOn w:val="Normal"/>
    <w:link w:val="TextonotapieCar"/>
    <w:uiPriority w:val="99"/>
    <w:semiHidden/>
    <w:unhideWhenUsed/>
    <w:rsid w:val="001C7FB8"/>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1C7FB8"/>
    <w:rPr>
      <w:sz w:val="20"/>
      <w:szCs w:val="20"/>
    </w:rPr>
  </w:style>
  <w:style w:type="character" w:styleId="Refdenotaalpie">
    <w:name w:val="footnote reference"/>
    <w:basedOn w:val="Fuentedeprrafopredeter"/>
    <w:uiPriority w:val="99"/>
    <w:semiHidden/>
    <w:unhideWhenUsed/>
    <w:rsid w:val="001C7FB8"/>
    <w:rPr>
      <w:vertAlign w:val="superscript"/>
    </w:rPr>
  </w:style>
  <w:style w:type="character" w:styleId="Hipervnculo">
    <w:name w:val="Hyperlink"/>
    <w:basedOn w:val="Fuentedeprrafopredeter"/>
    <w:uiPriority w:val="99"/>
    <w:unhideWhenUsed/>
    <w:rsid w:val="001A2F51"/>
    <w:rPr>
      <w:color w:val="0563C1" w:themeColor="hyperlink"/>
      <w:u w:val="single"/>
    </w:rPr>
  </w:style>
  <w:style w:type="table" w:customStyle="1" w:styleId="ac">
    <w:basedOn w:val="TableNormal2"/>
    <w:pPr>
      <w:spacing w:after="0" w:line="240" w:lineRule="auto"/>
    </w:pPr>
    <w:tblPr>
      <w:tblStyleRowBandSize w:val="1"/>
      <w:tblStyleColBandSize w:val="1"/>
      <w:tblCellMar>
        <w:left w:w="108" w:type="dxa"/>
        <w:right w:w="108" w:type="dxa"/>
      </w:tblCellMar>
    </w:tblPr>
  </w:style>
  <w:style w:type="table" w:customStyle="1" w:styleId="ad">
    <w:basedOn w:val="TableNormal2"/>
    <w:pPr>
      <w:spacing w:after="0" w:line="240" w:lineRule="auto"/>
    </w:pPr>
    <w:tblPr>
      <w:tblStyleRowBandSize w:val="1"/>
      <w:tblStyleColBandSize w:val="1"/>
      <w:tblCellMar>
        <w:left w:w="108" w:type="dxa"/>
        <w:right w:w="108" w:type="dxa"/>
      </w:tblCellMar>
    </w:tblPr>
  </w:style>
  <w:style w:type="table" w:customStyle="1" w:styleId="ae">
    <w:basedOn w:val="TableNormal2"/>
    <w:pPr>
      <w:spacing w:after="0" w:line="240" w:lineRule="auto"/>
    </w:pPr>
    <w:tblPr>
      <w:tblStyleRowBandSize w:val="1"/>
      <w:tblStyleColBandSize w:val="1"/>
      <w:tblCellMar>
        <w:left w:w="115" w:type="dxa"/>
        <w:right w:w="115" w:type="dxa"/>
      </w:tblCellMar>
    </w:tblPr>
  </w:style>
  <w:style w:type="table" w:customStyle="1" w:styleId="af">
    <w:basedOn w:val="TableNormal2"/>
    <w:pPr>
      <w:spacing w:after="0" w:line="240" w:lineRule="auto"/>
    </w:pPr>
    <w:tblPr>
      <w:tblStyleRowBandSize w:val="1"/>
      <w:tblStyleColBandSize w:val="1"/>
      <w:tblCellMar>
        <w:left w:w="108" w:type="dxa"/>
        <w:right w:w="108" w:type="dxa"/>
      </w:tblCellMar>
    </w:tblPr>
  </w:style>
  <w:style w:type="table" w:customStyle="1" w:styleId="af0">
    <w:basedOn w:val="TableNormal2"/>
    <w:pPr>
      <w:spacing w:after="0" w:line="240" w:lineRule="auto"/>
    </w:pPr>
    <w:tblPr>
      <w:tblStyleRowBandSize w:val="1"/>
      <w:tblStyleColBandSize w:val="1"/>
      <w:tblCellMar>
        <w:left w:w="115" w:type="dxa"/>
        <w:right w:w="115" w:type="dxa"/>
      </w:tblCellMar>
    </w:tblPr>
  </w:style>
  <w:style w:type="table" w:customStyle="1" w:styleId="af1">
    <w:basedOn w:val="TableNormal2"/>
    <w:pPr>
      <w:spacing w:after="0" w:line="240" w:lineRule="auto"/>
    </w:pPr>
    <w:tblPr>
      <w:tblStyleRowBandSize w:val="1"/>
      <w:tblStyleColBandSize w:val="1"/>
      <w:tblCellMar>
        <w:left w:w="108" w:type="dxa"/>
        <w:right w:w="108" w:type="dxa"/>
      </w:tblCellMar>
    </w:tblPr>
  </w:style>
  <w:style w:type="table" w:customStyle="1" w:styleId="af2">
    <w:basedOn w:val="TableNormal2"/>
    <w:pPr>
      <w:spacing w:after="0" w:line="240" w:lineRule="auto"/>
    </w:pPr>
    <w:tblPr>
      <w:tblStyleRowBandSize w:val="1"/>
      <w:tblStyleColBandSize w:val="1"/>
      <w:tblCellMar>
        <w:left w:w="115" w:type="dxa"/>
        <w:right w:w="115" w:type="dxa"/>
      </w:tblCellMar>
    </w:tblPr>
  </w:style>
  <w:style w:type="table" w:customStyle="1" w:styleId="af3">
    <w:basedOn w:val="TableNormal2"/>
    <w:pPr>
      <w:spacing w:after="0" w:line="240" w:lineRule="auto"/>
    </w:pPr>
    <w:tblPr>
      <w:tblStyleRowBandSize w:val="1"/>
      <w:tblStyleColBandSize w:val="1"/>
      <w:tblCellMar>
        <w:left w:w="108" w:type="dxa"/>
        <w:right w:w="108" w:type="dxa"/>
      </w:tblCellMar>
    </w:tblPr>
  </w:style>
  <w:style w:type="table" w:customStyle="1" w:styleId="af4">
    <w:basedOn w:val="TableNormal2"/>
    <w:pPr>
      <w:spacing w:after="0" w:line="240" w:lineRule="auto"/>
    </w:pPr>
    <w:tblPr>
      <w:tblStyleRowBandSize w:val="1"/>
      <w:tblStyleColBandSize w:val="1"/>
      <w:tblCellMar>
        <w:left w:w="115" w:type="dxa"/>
        <w:right w:w="115" w:type="dxa"/>
      </w:tblCellMar>
    </w:tblPr>
  </w:style>
  <w:style w:type="table" w:customStyle="1" w:styleId="af5">
    <w:basedOn w:val="TableNormal2"/>
    <w:pPr>
      <w:spacing w:after="0" w:line="240" w:lineRule="auto"/>
    </w:pPr>
    <w:tblPr>
      <w:tblStyleRowBandSize w:val="1"/>
      <w:tblStyleColBandSize w:val="1"/>
      <w:tblCellMar>
        <w:left w:w="108" w:type="dxa"/>
        <w:right w:w="108" w:type="dxa"/>
      </w:tblCellMar>
    </w:tblPr>
  </w:style>
  <w:style w:type="table" w:customStyle="1" w:styleId="af6">
    <w:basedOn w:val="TableNormal2"/>
    <w:tblPr>
      <w:tblStyleRowBandSize w:val="1"/>
      <w:tblStyleColBandSize w:val="1"/>
      <w:tblCellMar>
        <w:top w:w="100" w:type="dxa"/>
        <w:left w:w="100" w:type="dxa"/>
        <w:bottom w:w="100" w:type="dxa"/>
        <w:right w:w="100" w:type="dxa"/>
      </w:tblCellMar>
    </w:tblPr>
  </w:style>
  <w:style w:type="table" w:customStyle="1" w:styleId="af7">
    <w:basedOn w:val="TableNormal2"/>
    <w:tblPr>
      <w:tblStyleRowBandSize w:val="1"/>
      <w:tblStyleColBandSize w:val="1"/>
      <w:tblCellMar>
        <w:top w:w="100" w:type="dxa"/>
        <w:left w:w="100" w:type="dxa"/>
        <w:bottom w:w="100" w:type="dxa"/>
        <w:right w:w="100" w:type="dxa"/>
      </w:tblCellMar>
    </w:tblPr>
  </w:style>
  <w:style w:type="table" w:customStyle="1" w:styleId="af8">
    <w:basedOn w:val="TableNormal2"/>
    <w:pPr>
      <w:spacing w:after="0" w:line="240" w:lineRule="auto"/>
    </w:p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footnotes.xml.rels><?xml version="1.0" encoding="UTF-8" standalone="yes"?>
<Relationships xmlns="http://schemas.openxmlformats.org/package/2006/relationships"><Relationship Id="rId2" Type="http://schemas.openxmlformats.org/officeDocument/2006/relationships/hyperlink" Target="https://fundaciongabo.org/es/etica-periodistica/noticias/digital-news-report-2022-revela-que-cada-vez-mas-personas-evitan-las" TargetMode="External"/><Relationship Id="rId1" Type="http://schemas.openxmlformats.org/officeDocument/2006/relationships/hyperlink" Target="https://fundaciongabo.org/es/etica-periodistica/noticias/digital-news-report-2022-revela-que-cada-vez-mas-personas-evitan-l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Ag9zEBECA1/1vaBhxOw+izP/Bw==">CgMxLjAyCGguZ2pkZ3hzMg5oLmx5OWpxYWlnb285dzgAciExWjZrdkFEak1WVFc1c21BUENJdWdYbHBocUdNSWZOc3k=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3256</Words>
  <Characters>17912</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Alejandro Otalora Torres</dc:creator>
  <cp:lastModifiedBy>ANA YOLANDA DURAN RODRIGUEZ</cp:lastModifiedBy>
  <cp:revision>3</cp:revision>
  <cp:lastPrinted>2025-06-03T22:38:00Z</cp:lastPrinted>
  <dcterms:created xsi:type="dcterms:W3CDTF">2025-06-03T23:51:00Z</dcterms:created>
  <dcterms:modified xsi:type="dcterms:W3CDTF">2025-06-03T23:56:00Z</dcterms:modified>
</cp:coreProperties>
</file>